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35AA978"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8052F1">
        <w:rPr>
          <w:rFonts w:ascii="Arial" w:hAnsi="Arial" w:cs="Arial"/>
          <w:sz w:val="24"/>
          <w:szCs w:val="28"/>
          <w:lang w:val="en-CA"/>
        </w:rPr>
        <w:t>02354</w:t>
      </w:r>
    </w:p>
    <w:p w14:paraId="4F58942D" w14:textId="73B8DA7B"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474503D1" w:rsidR="00D80957" w:rsidRPr="00EF221F" w:rsidRDefault="00D80957" w:rsidP="0033186E">
      <w:pPr>
        <w:tabs>
          <w:tab w:val="left" w:pos="1985"/>
        </w:tabs>
        <w:spacing w:before="240" w:after="0"/>
        <w:jc w:val="both"/>
        <w:rPr>
          <w:rFonts w:ascii="Arial" w:hAnsi="Arial" w:cs="Arial"/>
          <w:bCs/>
          <w:sz w:val="22"/>
          <w:szCs w:val="22"/>
          <w:lang w:val="en-US"/>
        </w:rPr>
      </w:pPr>
      <w:r w:rsidRPr="00EF221F">
        <w:rPr>
          <w:rFonts w:ascii="Arial" w:hAnsi="Arial" w:cs="Arial"/>
          <w:b/>
          <w:sz w:val="22"/>
          <w:szCs w:val="22"/>
          <w:lang w:val="en-US"/>
        </w:rPr>
        <w:t>Agenda Item:</w:t>
      </w:r>
      <w:r w:rsidRPr="00EF221F">
        <w:rPr>
          <w:rFonts w:ascii="Arial" w:hAnsi="Arial" w:cs="Arial"/>
          <w:b/>
          <w:sz w:val="22"/>
          <w:szCs w:val="22"/>
          <w:lang w:val="en-US"/>
        </w:rPr>
        <w:tab/>
      </w:r>
      <w:r w:rsidR="00C37575">
        <w:rPr>
          <w:rFonts w:ascii="Arial" w:hAnsi="Arial" w:cs="Arial"/>
          <w:sz w:val="22"/>
          <w:szCs w:val="22"/>
          <w:lang w:val="en-US"/>
        </w:rPr>
        <w:t>7</w:t>
      </w:r>
      <w:r w:rsidR="00142C2E" w:rsidRPr="00EF221F">
        <w:rPr>
          <w:rFonts w:ascii="Arial" w:hAnsi="Arial" w:cs="Arial"/>
          <w:sz w:val="22"/>
          <w:szCs w:val="22"/>
          <w:lang w:val="en-US"/>
        </w:rPr>
        <w:t>.</w:t>
      </w:r>
      <w:r w:rsidR="00C37575">
        <w:rPr>
          <w:rFonts w:ascii="Arial" w:hAnsi="Arial" w:cs="Arial"/>
          <w:sz w:val="22"/>
          <w:szCs w:val="22"/>
          <w:lang w:val="en-US"/>
        </w:rPr>
        <w:t>13</w:t>
      </w:r>
      <w:r w:rsidR="00142C2E" w:rsidRPr="00EF221F">
        <w:rPr>
          <w:rFonts w:ascii="Arial" w:hAnsi="Arial" w:cs="Arial"/>
          <w:sz w:val="22"/>
          <w:szCs w:val="22"/>
          <w:lang w:val="en-US"/>
        </w:rPr>
        <w:t>.</w:t>
      </w:r>
      <w:r w:rsidR="00C37575">
        <w:rPr>
          <w:rFonts w:ascii="Arial" w:hAnsi="Arial" w:cs="Arial"/>
          <w:sz w:val="22"/>
          <w:szCs w:val="22"/>
          <w:lang w:val="en-US"/>
        </w:rPr>
        <w:t>1.2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D0C1F5A"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C87A7B">
        <w:rPr>
          <w:rFonts w:ascii="Arial" w:hAnsi="Arial" w:cs="Arial"/>
          <w:sz w:val="22"/>
          <w:szCs w:val="22"/>
          <w:lang w:val="en-CA"/>
        </w:rPr>
        <w:t>DCI-based</w:t>
      </w:r>
      <w:r w:rsidR="00EF221F">
        <w:rPr>
          <w:rFonts w:ascii="Arial" w:hAnsi="Arial" w:cs="Arial"/>
          <w:sz w:val="22"/>
          <w:szCs w:val="22"/>
          <w:lang w:val="en-CA"/>
        </w:rPr>
        <w:t xml:space="preserve"> </w:t>
      </w:r>
      <w:r w:rsidR="00142C2E">
        <w:rPr>
          <w:rFonts w:ascii="Arial" w:hAnsi="Arial" w:cs="Arial"/>
          <w:sz w:val="22"/>
          <w:szCs w:val="22"/>
          <w:lang w:val="en-CA"/>
        </w:rPr>
        <w:t>simultaneous BWP switch on multiple CCs</w:t>
      </w:r>
    </w:p>
    <w:p w14:paraId="2FCB5745" w14:textId="2C1CED3E"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AD679D">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75C7B91F" w14:textId="3F99DC02" w:rsidR="00F57CF4" w:rsidRDefault="00BD7A5F" w:rsidP="00142C2E">
      <w:pPr>
        <w:rPr>
          <w:sz w:val="22"/>
          <w:lang w:val="en-CA"/>
        </w:rPr>
      </w:pPr>
      <w:r>
        <w:rPr>
          <w:sz w:val="22"/>
          <w:lang w:val="en-CA"/>
        </w:rPr>
        <w:t xml:space="preserve">During </w:t>
      </w:r>
      <w:r w:rsidR="001406E9">
        <w:rPr>
          <w:sz w:val="22"/>
          <w:lang w:val="en-CA"/>
        </w:rPr>
        <w:t xml:space="preserve">specification work on requirements for DCI-triggered simultaneous BWP switching on multiple component carriers it was observed that for some parameter value combinations of incremental switching delay </w:t>
      </w:r>
      <w:r w:rsidR="001406E9" w:rsidRPr="001406E9">
        <w:rPr>
          <w:i/>
          <w:iCs/>
          <w:sz w:val="22"/>
          <w:lang w:val="en-CA"/>
        </w:rPr>
        <w:t>D</w:t>
      </w:r>
      <w:r w:rsidR="001406E9">
        <w:rPr>
          <w:sz w:val="22"/>
          <w:lang w:val="en-CA"/>
        </w:rPr>
        <w:t xml:space="preserve">, number of carriers </w:t>
      </w:r>
      <w:r w:rsidR="001406E9" w:rsidRPr="001406E9">
        <w:rPr>
          <w:i/>
          <w:iCs/>
          <w:sz w:val="22"/>
          <w:lang w:val="en-CA"/>
        </w:rPr>
        <w:t>N</w:t>
      </w:r>
      <w:r w:rsidR="001406E9">
        <w:rPr>
          <w:sz w:val="22"/>
          <w:lang w:val="en-CA"/>
        </w:rPr>
        <w:t xml:space="preserve">, and </w:t>
      </w:r>
      <w:r w:rsidR="001406E9" w:rsidRPr="001406E9">
        <w:rPr>
          <w:i/>
          <w:iCs/>
          <w:sz w:val="22"/>
          <w:lang w:val="en-CA"/>
        </w:rPr>
        <w:t>bwp-</w:t>
      </w:r>
      <w:r w:rsidR="001406E9">
        <w:rPr>
          <w:i/>
          <w:iCs/>
          <w:sz w:val="22"/>
          <w:lang w:val="en-CA"/>
        </w:rPr>
        <w:t>SwitchingDelay</w:t>
      </w:r>
      <w:r w:rsidR="001406E9">
        <w:rPr>
          <w:sz w:val="22"/>
          <w:lang w:val="en-CA"/>
        </w:rPr>
        <w:t xml:space="preserve"> type, it would be challenging to </w:t>
      </w:r>
      <w:r w:rsidR="00F57CF4">
        <w:rPr>
          <w:sz w:val="22"/>
          <w:lang w:val="en-CA"/>
        </w:rPr>
        <w:t xml:space="preserve">find and configure </w:t>
      </w:r>
      <w:r w:rsidR="001406E9">
        <w:rPr>
          <w:sz w:val="22"/>
          <w:lang w:val="en-CA"/>
        </w:rPr>
        <w:t xml:space="preserve">appropriate values for </w:t>
      </w:r>
      <w:r w:rsidR="001406E9" w:rsidRPr="001406E9">
        <w:rPr>
          <w:i/>
          <w:iCs/>
          <w:sz w:val="22"/>
          <w:lang w:val="en-CA"/>
        </w:rPr>
        <w:t>k0</w:t>
      </w:r>
      <w:r w:rsidR="001406E9">
        <w:rPr>
          <w:sz w:val="22"/>
          <w:lang w:val="en-CA"/>
        </w:rPr>
        <w:t xml:space="preserve">, </w:t>
      </w:r>
      <w:r w:rsidR="001406E9" w:rsidRPr="001406E9">
        <w:rPr>
          <w:i/>
          <w:iCs/>
          <w:sz w:val="22"/>
          <w:lang w:val="en-CA"/>
        </w:rPr>
        <w:t>k1</w:t>
      </w:r>
      <w:r w:rsidR="001406E9">
        <w:rPr>
          <w:sz w:val="22"/>
          <w:lang w:val="en-CA"/>
        </w:rPr>
        <w:t xml:space="preserve"> and </w:t>
      </w:r>
      <w:r w:rsidR="001406E9" w:rsidRPr="001406E9">
        <w:rPr>
          <w:i/>
          <w:iCs/>
          <w:sz w:val="22"/>
          <w:lang w:val="en-CA"/>
        </w:rPr>
        <w:t>k2</w:t>
      </w:r>
      <w:r w:rsidR="00F57CF4">
        <w:rPr>
          <w:sz w:val="22"/>
          <w:lang w:val="en-CA"/>
        </w:rPr>
        <w:t xml:space="preserve"> that would allow the UE to receive on PDSCH or transmit on PUSCH (in case of scheduling DCI), or transmit HARQ feedback on PUCCH (in case of non-scheduling DCI), at a point in time that is after the interruption potentially caused by the BWP switching.</w:t>
      </w:r>
    </w:p>
    <w:p w14:paraId="0C9A08D4" w14:textId="6E7EFD5A" w:rsidR="00622C2C" w:rsidRDefault="00622C2C" w:rsidP="00142C2E">
      <w:pPr>
        <w:rPr>
          <w:sz w:val="22"/>
          <w:lang w:val="en-CA"/>
        </w:rPr>
      </w:pPr>
      <w:r>
        <w:rPr>
          <w:sz w:val="22"/>
          <w:lang w:val="en-CA"/>
        </w:rPr>
        <w:t xml:space="preserve">RAN1 was asked for a clarification, and has now come back in an LS reply </w:t>
      </w:r>
      <w:r>
        <w:rPr>
          <w:sz w:val="22"/>
          <w:lang w:val="en-CA"/>
        </w:rPr>
        <w:fldChar w:fldCharType="begin"/>
      </w:r>
      <w:r>
        <w:rPr>
          <w:sz w:val="22"/>
          <w:lang w:val="en-CA"/>
        </w:rPr>
        <w:instrText xml:space="preserve"> REF _Ref60932375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w:t>
      </w:r>
    </w:p>
    <w:p w14:paraId="46C4872F" w14:textId="69920C25" w:rsidR="00515947" w:rsidRPr="00DF54C9" w:rsidRDefault="00622C2C" w:rsidP="00142C2E">
      <w:pPr>
        <w:rPr>
          <w:sz w:val="22"/>
          <w:lang w:val="en-CA"/>
        </w:rPr>
      </w:pPr>
      <w:r>
        <w:rPr>
          <w:sz w:val="22"/>
          <w:lang w:val="en-CA"/>
        </w:rPr>
        <w:t>In this contribution we look into the reply and propose a clarification to be added to TS 38.133 clause 8</w:t>
      </w:r>
      <w:r w:rsidRPr="00622C2C">
        <w:rPr>
          <w:sz w:val="22"/>
          <w:lang w:val="en-CA"/>
        </w:rPr>
        <w:t>.6.2</w:t>
      </w:r>
      <w:r>
        <w:rPr>
          <w:sz w:val="22"/>
          <w:lang w:val="en-CA"/>
        </w:rPr>
        <w:t>A.</w:t>
      </w:r>
    </w:p>
    <w:p w14:paraId="6CE97566" w14:textId="78BDE04D" w:rsidR="004E2B9B" w:rsidRDefault="00515947" w:rsidP="004E2B9B">
      <w:pPr>
        <w:pStyle w:val="Heading1"/>
        <w:ind w:left="431" w:hanging="431"/>
        <w:rPr>
          <w:szCs w:val="36"/>
          <w:lang w:val="en-CA"/>
        </w:rPr>
      </w:pPr>
      <w:r>
        <w:rPr>
          <w:szCs w:val="36"/>
          <w:lang w:val="en-CA"/>
        </w:rPr>
        <w:t>Discussion</w:t>
      </w:r>
    </w:p>
    <w:p w14:paraId="130C0ADA" w14:textId="5AA5AD73" w:rsidR="0093067B" w:rsidRDefault="00315134" w:rsidP="0093067B">
      <w:pPr>
        <w:spacing w:after="0"/>
        <w:rPr>
          <w:rFonts w:eastAsia="Times New Roman"/>
          <w:sz w:val="22"/>
          <w:szCs w:val="22"/>
          <w:lang w:eastAsia="ko-KR"/>
        </w:rPr>
      </w:pPr>
      <w:r>
        <w:rPr>
          <w:rFonts w:eastAsia="Times New Roman"/>
          <w:sz w:val="22"/>
          <w:szCs w:val="22"/>
          <w:lang w:eastAsia="ko-KR"/>
        </w:rPr>
        <w:t>The following reply was provided by RAN1 on the concern raised by RAN4:</w:t>
      </w:r>
    </w:p>
    <w:p w14:paraId="20FC04CC" w14:textId="024BC1BB" w:rsidR="00315134" w:rsidRPr="00C37575" w:rsidRDefault="00315134" w:rsidP="00315134">
      <w:pPr>
        <w:spacing w:before="240" w:after="0"/>
        <w:jc w:val="center"/>
        <w:rPr>
          <w:rFonts w:eastAsia="Times New Roman"/>
          <w:color w:val="365F91" w:themeColor="accent1" w:themeShade="BF"/>
          <w:sz w:val="22"/>
          <w:szCs w:val="22"/>
          <w:lang w:eastAsia="ko-KR"/>
        </w:rPr>
      </w:pPr>
      <w:r w:rsidRPr="00C37575">
        <w:rPr>
          <w:rFonts w:eastAsia="Times New Roman"/>
          <w:color w:val="365F91" w:themeColor="accent1" w:themeShade="BF"/>
          <w:sz w:val="22"/>
          <w:szCs w:val="22"/>
          <w:lang w:eastAsia="ko-KR"/>
        </w:rPr>
        <w:t>* * *</w:t>
      </w:r>
    </w:p>
    <w:p w14:paraId="31718A4D" w14:textId="77777777" w:rsidR="00515947" w:rsidRPr="00515947" w:rsidRDefault="00515947" w:rsidP="00515947">
      <w:pPr>
        <w:pStyle w:val="Header"/>
        <w:spacing w:before="120"/>
        <w:ind w:left="567" w:right="567"/>
        <w:rPr>
          <w:rFonts w:ascii="Arial" w:hAnsi="Arial" w:cs="Arial"/>
          <w:sz w:val="18"/>
          <w:szCs w:val="18"/>
        </w:rPr>
      </w:pPr>
      <w:r w:rsidRPr="00515947">
        <w:rPr>
          <w:rFonts w:ascii="Arial" w:hAnsi="Arial" w:cs="Arial"/>
          <w:b/>
          <w:sz w:val="18"/>
          <w:szCs w:val="18"/>
        </w:rPr>
        <w:t xml:space="preserve">Answer: </w:t>
      </w:r>
      <w:r w:rsidRPr="00515947">
        <w:rPr>
          <w:rFonts w:ascii="Arial" w:hAnsi="Arial" w:cs="Arial"/>
          <w:sz w:val="18"/>
          <w:szCs w:val="18"/>
        </w:rPr>
        <w:t xml:space="preserve">RAN1 understanding is that some combinations result in scheduler restriction due to maximum value range of k0, k1, k2 and as a result, the maximum allowed number of CCs for simultaneous BWP switching using scheduling DCI may be different in different cases. RAN1 has also concluded to not change the supported maximum value of k0, k1, k2 in Rel-16 to address this issue. </w:t>
      </w:r>
    </w:p>
    <w:p w14:paraId="6BD37793" w14:textId="77777777" w:rsidR="00515947" w:rsidRPr="00515947" w:rsidRDefault="00515947" w:rsidP="00515947">
      <w:pPr>
        <w:pStyle w:val="Header"/>
        <w:spacing w:before="120"/>
        <w:ind w:left="567" w:right="567"/>
        <w:rPr>
          <w:rFonts w:ascii="Arial" w:hAnsi="Arial" w:cs="Arial"/>
          <w:sz w:val="18"/>
          <w:szCs w:val="18"/>
        </w:rPr>
      </w:pPr>
      <w:r w:rsidRPr="00515947">
        <w:rPr>
          <w:rFonts w:ascii="Arial" w:hAnsi="Arial" w:cs="Arial"/>
          <w:sz w:val="18"/>
          <w:szCs w:val="18"/>
        </w:rPr>
        <w:t xml:space="preserve">For instance, for Type 2 UE with the incremental delay (D) values being 800us and 1000us, and FR2 CA with SCS = 120kHz for SpCell and SCells, NW can switch dormant BWP on at most 3 and 2 SCells, respectivly, at one time using the DCI 1_1/0_1 scheduling PDSCH/PUSCH on SpCell. Similar issue can occur for processing timeline of HARQ-ACK sent in response to detecting the non-scheduling DCI used for SCells dormant BWP switch. </w:t>
      </w:r>
    </w:p>
    <w:p w14:paraId="2A9F26CF" w14:textId="77777777" w:rsidR="00515947" w:rsidRPr="00515947" w:rsidRDefault="00515947" w:rsidP="00515947">
      <w:pPr>
        <w:pStyle w:val="Header"/>
        <w:spacing w:before="120"/>
        <w:ind w:left="567" w:right="567"/>
        <w:rPr>
          <w:rFonts w:ascii="Arial" w:hAnsi="Arial" w:cs="Arial"/>
          <w:sz w:val="18"/>
          <w:szCs w:val="18"/>
        </w:rPr>
      </w:pPr>
      <w:r w:rsidRPr="00515947">
        <w:rPr>
          <w:rFonts w:ascii="Arial" w:hAnsi="Arial" w:cs="Arial"/>
          <w:sz w:val="18"/>
          <w:szCs w:val="18"/>
        </w:rPr>
        <w:t xml:space="preserve">Some companies discussed an example table below (with approximate maximum number of SCells for simultaneous dormant BWP switching using SpCell scheduling DCI with a scheduled PDSCH/PUSCH), which assumes the same SCS for SpCell and SCells, and the SpCell scheduling DCI is received within the first 3 OFDM symbols of a slot. </w:t>
      </w:r>
    </w:p>
    <w:p w14:paraId="36A095F6" w14:textId="201DB5F6" w:rsidR="00515947" w:rsidRDefault="00515947" w:rsidP="00515947">
      <w:pPr>
        <w:pStyle w:val="Header"/>
        <w:spacing w:before="120"/>
        <w:ind w:left="567" w:right="567"/>
        <w:rPr>
          <w:rFonts w:ascii="Arial" w:hAnsi="Arial" w:cs="Arial"/>
          <w:sz w:val="18"/>
          <w:szCs w:val="18"/>
        </w:rPr>
      </w:pPr>
      <w:r w:rsidRPr="00515947">
        <w:rPr>
          <w:rFonts w:ascii="Arial" w:hAnsi="Arial" w:cs="Arial"/>
          <w:sz w:val="18"/>
          <w:szCs w:val="18"/>
        </w:rPr>
        <w:t>Note that this table is only for illustration - the actual number of SCells for simultaneous BWP switching may be different and is derivable from specification text.</w:t>
      </w:r>
    </w:p>
    <w:tbl>
      <w:tblPr>
        <w:tblW w:w="6369" w:type="dxa"/>
        <w:jc w:val="center"/>
        <w:tblLayout w:type="fixed"/>
        <w:tblCellMar>
          <w:left w:w="0" w:type="dxa"/>
          <w:right w:w="0" w:type="dxa"/>
        </w:tblCellMar>
        <w:tblLook w:val="04A0" w:firstRow="1" w:lastRow="0" w:firstColumn="1" w:lastColumn="0" w:noHBand="0" w:noVBand="1"/>
      </w:tblPr>
      <w:tblGrid>
        <w:gridCol w:w="505"/>
        <w:gridCol w:w="1186"/>
        <w:gridCol w:w="1276"/>
        <w:gridCol w:w="1559"/>
        <w:gridCol w:w="1843"/>
      </w:tblGrid>
      <w:tr w:rsidR="00BD7A5F" w:rsidRPr="00BD7A5F" w14:paraId="711927FB" w14:textId="77777777" w:rsidTr="00315134">
        <w:trPr>
          <w:trHeight w:val="305"/>
          <w:jc w:val="center"/>
        </w:trPr>
        <w:tc>
          <w:tcPr>
            <w:tcW w:w="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FE0AB" w14:textId="77777777" w:rsidR="00BD7A5F" w:rsidRPr="00BD7A5F" w:rsidRDefault="00BD7A5F" w:rsidP="00136342">
            <w:pPr>
              <w:pStyle w:val="TAH"/>
              <w:rPr>
                <w:sz w:val="14"/>
                <w:szCs w:val="16"/>
              </w:rPr>
            </w:pPr>
            <w:r w:rsidRPr="00BD7A5F">
              <w:rPr>
                <w:sz w:val="14"/>
                <w:szCs w:val="16"/>
                <w:lang w:eastAsia="zh-CN"/>
              </w:rPr>
              <w:lastRenderedPageBreak/>
              <w:t xml:space="preserve">SCS </w:t>
            </w:r>
          </w:p>
        </w:tc>
        <w:tc>
          <w:tcPr>
            <w:tcW w:w="1186" w:type="dxa"/>
            <w:tcBorders>
              <w:top w:val="single" w:sz="8" w:space="0" w:color="auto"/>
              <w:left w:val="nil"/>
              <w:bottom w:val="single" w:sz="8" w:space="0" w:color="auto"/>
              <w:right w:val="single" w:sz="8" w:space="0" w:color="auto"/>
            </w:tcBorders>
            <w:tcMar>
              <w:top w:w="0" w:type="dxa"/>
              <w:left w:w="0" w:type="dxa"/>
              <w:bottom w:w="0" w:type="dxa"/>
              <w:right w:w="0" w:type="dxa"/>
            </w:tcMar>
            <w:hideMark/>
          </w:tcPr>
          <w:p w14:paraId="614AFAB4" w14:textId="77777777" w:rsidR="00BD7A5F" w:rsidRPr="00BD7A5F" w:rsidRDefault="00BD7A5F" w:rsidP="00136342">
            <w:pPr>
              <w:pStyle w:val="TAH"/>
              <w:rPr>
                <w:sz w:val="14"/>
                <w:szCs w:val="16"/>
              </w:rPr>
            </w:pPr>
            <w:r w:rsidRPr="00BD7A5F">
              <w:rPr>
                <w:sz w:val="14"/>
                <w:szCs w:val="16"/>
              </w:rPr>
              <w:t>Single SCell dormant BWP switch delay (ms)</w:t>
            </w:r>
          </w:p>
          <w:p w14:paraId="1480AB87" w14:textId="77777777" w:rsidR="00BD7A5F" w:rsidRPr="00BD7A5F" w:rsidRDefault="00BD7A5F" w:rsidP="00136342">
            <w:pPr>
              <w:pStyle w:val="TAH"/>
              <w:rPr>
                <w:sz w:val="14"/>
                <w:szCs w:val="16"/>
              </w:rPr>
            </w:pPr>
            <w:r w:rsidRPr="00BD7A5F">
              <w:rPr>
                <w:sz w:val="14"/>
                <w:szCs w:val="16"/>
              </w:rPr>
              <w:t>Type 1 / Type 2</w:t>
            </w:r>
          </w:p>
        </w:tc>
        <w:tc>
          <w:tcPr>
            <w:tcW w:w="2835" w:type="dxa"/>
            <w:gridSpan w:val="2"/>
            <w:tcBorders>
              <w:top w:val="single" w:sz="8" w:space="0" w:color="auto"/>
              <w:left w:val="nil"/>
              <w:bottom w:val="single" w:sz="8" w:space="0" w:color="auto"/>
              <w:right w:val="single" w:sz="8" w:space="0" w:color="auto"/>
            </w:tcBorders>
            <w:tcMar>
              <w:top w:w="0" w:type="dxa"/>
              <w:left w:w="0" w:type="dxa"/>
              <w:bottom w:w="0" w:type="dxa"/>
              <w:right w:w="0" w:type="dxa"/>
            </w:tcMar>
            <w:hideMark/>
          </w:tcPr>
          <w:p w14:paraId="27410F3E" w14:textId="77777777" w:rsidR="00BD7A5F" w:rsidRPr="00BD7A5F" w:rsidRDefault="00BD7A5F" w:rsidP="00BD7A5F">
            <w:pPr>
              <w:pStyle w:val="TAH"/>
              <w:rPr>
                <w:sz w:val="14"/>
                <w:szCs w:val="16"/>
                <w:lang w:eastAsia="zh-CN"/>
              </w:rPr>
            </w:pPr>
            <w:r w:rsidRPr="00BD7A5F">
              <w:rPr>
                <w:sz w:val="14"/>
                <w:szCs w:val="16"/>
                <w:lang w:eastAsia="zh-CN"/>
              </w:rPr>
              <w:t>Maximum number of SCells for simultaneous dormant BWP switching using PCell scheduling DCI</w:t>
            </w:r>
          </w:p>
          <w:p w14:paraId="05F29605" w14:textId="77777777" w:rsidR="00BD7A5F" w:rsidRPr="00BD7A5F" w:rsidRDefault="00BD7A5F" w:rsidP="00315134">
            <w:pPr>
              <w:pStyle w:val="TAH"/>
              <w:numPr>
                <w:ilvl w:val="0"/>
                <w:numId w:val="46"/>
              </w:numPr>
              <w:overflowPunct w:val="0"/>
              <w:autoSpaceDE w:val="0"/>
              <w:autoSpaceDN w:val="0"/>
              <w:adjustRightInd w:val="0"/>
              <w:ind w:left="181" w:hanging="142"/>
              <w:jc w:val="left"/>
              <w:textAlignment w:val="baseline"/>
              <w:rPr>
                <w:sz w:val="14"/>
                <w:szCs w:val="16"/>
                <w:lang w:eastAsia="zh-CN"/>
              </w:rPr>
            </w:pPr>
            <w:r w:rsidRPr="00BD7A5F">
              <w:rPr>
                <w:sz w:val="14"/>
                <w:szCs w:val="16"/>
                <w:lang w:eastAsia="zh-CN"/>
              </w:rPr>
              <w:t xml:space="preserve">with corresponding </w:t>
            </w:r>
            <m:oMath>
              <m:sSub>
                <m:sSubPr>
                  <m:ctrlPr>
                    <w:rPr>
                      <w:rFonts w:ascii="Cambria Math" w:hAnsi="Cambria Math" w:cs="Arial"/>
                      <w:i/>
                      <w:iCs/>
                      <w:sz w:val="14"/>
                      <w:szCs w:val="16"/>
                    </w:rPr>
                  </m:ctrlPr>
                </m:sSubPr>
                <m:e>
                  <m:r>
                    <m:rPr>
                      <m:sty m:val="bi"/>
                    </m:rPr>
                    <w:rPr>
                      <w:rFonts w:ascii="Cambria Math" w:hAnsi="Cambria Math" w:cs="Arial"/>
                      <w:sz w:val="14"/>
                      <w:szCs w:val="16"/>
                    </w:rPr>
                    <m:t>T</m:t>
                  </m:r>
                </m:e>
                <m:sub>
                  <m:r>
                    <m:rPr>
                      <m:sty m:val="bi"/>
                    </m:rPr>
                    <w:rPr>
                      <w:rFonts w:ascii="Cambria Math" w:hAnsi="Cambria Math" w:cs="Arial"/>
                      <w:sz w:val="14"/>
                      <w:szCs w:val="16"/>
                    </w:rPr>
                    <m:t>MultipleBWPSwitchDelay</m:t>
                  </m:r>
                </m:sub>
              </m:sSub>
            </m:oMath>
            <w:r w:rsidRPr="00BD7A5F">
              <w:rPr>
                <w:sz w:val="14"/>
                <w:szCs w:val="16"/>
                <w:lang w:eastAsia="zh-CN"/>
              </w:rPr>
              <w:t xml:space="preserve"> to be T (ms)</w:t>
            </w:r>
          </w:p>
        </w:tc>
        <w:tc>
          <w:tcPr>
            <w:tcW w:w="1843" w:type="dxa"/>
            <w:tcBorders>
              <w:top w:val="single" w:sz="8" w:space="0" w:color="auto"/>
              <w:left w:val="nil"/>
              <w:bottom w:val="single" w:sz="8" w:space="0" w:color="auto"/>
              <w:right w:val="single" w:sz="8" w:space="0" w:color="auto"/>
            </w:tcBorders>
          </w:tcPr>
          <w:p w14:paraId="4671DEC9" w14:textId="77777777" w:rsidR="00BD7A5F" w:rsidRPr="00BD7A5F" w:rsidRDefault="00BD7A5F" w:rsidP="00BD7A5F">
            <w:pPr>
              <w:pStyle w:val="TAH"/>
              <w:rPr>
                <w:sz w:val="14"/>
                <w:szCs w:val="16"/>
                <w:lang w:eastAsia="zh-CN"/>
              </w:rPr>
            </w:pPr>
            <w:r w:rsidRPr="00BD7A5F">
              <w:rPr>
                <w:sz w:val="14"/>
                <w:szCs w:val="16"/>
                <w:lang w:eastAsia="zh-CN"/>
              </w:rPr>
              <w:t>Existing maximum K0/K2 (ms)</w:t>
            </w:r>
          </w:p>
          <w:p w14:paraId="197C9BDD" w14:textId="67ED83B6" w:rsidR="00BD7A5F" w:rsidRPr="00BD7A5F" w:rsidRDefault="00BD7A5F" w:rsidP="00BD7A5F">
            <w:pPr>
              <w:pStyle w:val="TAH"/>
              <w:rPr>
                <w:sz w:val="14"/>
                <w:szCs w:val="16"/>
                <w:lang w:eastAsia="zh-CN"/>
              </w:rPr>
            </w:pPr>
            <w:r w:rsidRPr="00BD7A5F">
              <w:rPr>
                <w:sz w:val="14"/>
                <w:szCs w:val="16"/>
                <w:lang w:eastAsia="zh-CN"/>
              </w:rPr>
              <w:t>(Serve as upper bound of</w:t>
            </w:r>
          </w:p>
          <w:p w14:paraId="5C7434C4" w14:textId="77777777" w:rsidR="00BD7A5F" w:rsidRPr="00BD7A5F" w:rsidRDefault="0024670E" w:rsidP="00BD7A5F">
            <w:pPr>
              <w:pStyle w:val="TAH"/>
              <w:rPr>
                <w:sz w:val="14"/>
                <w:szCs w:val="16"/>
                <w:lang w:eastAsia="zh-CN"/>
              </w:rPr>
            </w:pPr>
            <m:oMath>
              <m:sSub>
                <m:sSubPr>
                  <m:ctrlPr>
                    <w:rPr>
                      <w:rFonts w:ascii="Cambria Math" w:hAnsi="Cambria Math" w:cs="Arial"/>
                      <w:i/>
                      <w:iCs/>
                      <w:sz w:val="14"/>
                      <w:szCs w:val="16"/>
                    </w:rPr>
                  </m:ctrlPr>
                </m:sSubPr>
                <m:e>
                  <m:r>
                    <m:rPr>
                      <m:sty m:val="bi"/>
                    </m:rPr>
                    <w:rPr>
                      <w:rFonts w:ascii="Cambria Math" w:hAnsi="Cambria Math" w:cs="Arial"/>
                      <w:sz w:val="14"/>
                      <w:szCs w:val="16"/>
                    </w:rPr>
                    <m:t>T</m:t>
                  </m:r>
                </m:e>
                <m:sub>
                  <m:r>
                    <m:rPr>
                      <m:sty m:val="bi"/>
                    </m:rPr>
                    <w:rPr>
                      <w:rFonts w:ascii="Cambria Math" w:hAnsi="Cambria Math" w:cs="Arial"/>
                      <w:sz w:val="14"/>
                      <w:szCs w:val="16"/>
                    </w:rPr>
                    <m:t>MultipleBWPSwitchDelay</m:t>
                  </m:r>
                </m:sub>
              </m:sSub>
            </m:oMath>
            <w:r w:rsidR="00BD7A5F" w:rsidRPr="00BD7A5F">
              <w:rPr>
                <w:iCs/>
                <w:sz w:val="14"/>
                <w:szCs w:val="16"/>
              </w:rPr>
              <w:t>)</w:t>
            </w:r>
          </w:p>
        </w:tc>
      </w:tr>
      <w:tr w:rsidR="00BD7A5F" w:rsidRPr="00BD7A5F" w14:paraId="4D59F7AE" w14:textId="77777777" w:rsidTr="00BD7A5F">
        <w:trPr>
          <w:jc w:val="center"/>
        </w:trPr>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FADC9" w14:textId="77777777" w:rsidR="00BD7A5F" w:rsidRPr="00BD7A5F" w:rsidRDefault="00BD7A5F" w:rsidP="00136342">
            <w:pPr>
              <w:pStyle w:val="TAC"/>
              <w:rPr>
                <w:sz w:val="14"/>
                <w:szCs w:val="16"/>
              </w:rPr>
            </w:pPr>
            <w:r w:rsidRPr="00BD7A5F">
              <w:rPr>
                <w:sz w:val="14"/>
                <w:szCs w:val="16"/>
              </w:rPr>
              <w:t>15</w:t>
            </w:r>
          </w:p>
        </w:tc>
        <w:tc>
          <w:tcPr>
            <w:tcW w:w="1186" w:type="dxa"/>
            <w:tcBorders>
              <w:top w:val="nil"/>
              <w:left w:val="nil"/>
              <w:bottom w:val="single" w:sz="8" w:space="0" w:color="auto"/>
              <w:right w:val="single" w:sz="8" w:space="0" w:color="auto"/>
            </w:tcBorders>
            <w:tcMar>
              <w:top w:w="0" w:type="dxa"/>
              <w:left w:w="108" w:type="dxa"/>
              <w:bottom w:w="0" w:type="dxa"/>
              <w:right w:w="108" w:type="dxa"/>
            </w:tcMar>
            <w:hideMark/>
          </w:tcPr>
          <w:p w14:paraId="735ADD8B" w14:textId="77777777" w:rsidR="00BD7A5F" w:rsidRPr="00BD7A5F" w:rsidRDefault="00BD7A5F" w:rsidP="00136342">
            <w:pPr>
              <w:pStyle w:val="TAC"/>
              <w:rPr>
                <w:sz w:val="14"/>
                <w:szCs w:val="16"/>
              </w:rPr>
            </w:pPr>
            <w:r w:rsidRPr="00BD7A5F">
              <w:rPr>
                <w:rFonts w:eastAsia="PMingLiU" w:hint="eastAsia"/>
                <w:sz w:val="14"/>
                <w:szCs w:val="16"/>
                <w:lang w:eastAsia="zh-TW"/>
              </w:rPr>
              <w:t>2</w:t>
            </w:r>
            <w:r w:rsidRPr="00BD7A5F">
              <w:rPr>
                <w:sz w:val="14"/>
                <w:szCs w:val="16"/>
              </w:rPr>
              <w:t xml:space="preserve"> / 4</w:t>
            </w:r>
          </w:p>
        </w:tc>
        <w:tc>
          <w:tcPr>
            <w:tcW w:w="1276" w:type="dxa"/>
            <w:tcBorders>
              <w:top w:val="nil"/>
              <w:left w:val="nil"/>
              <w:bottom w:val="single" w:sz="8" w:space="0" w:color="auto"/>
              <w:right w:val="single" w:sz="8" w:space="0" w:color="auto"/>
            </w:tcBorders>
            <w:tcMar>
              <w:top w:w="0" w:type="dxa"/>
              <w:left w:w="0" w:type="dxa"/>
              <w:bottom w:w="0" w:type="dxa"/>
              <w:right w:w="0" w:type="dxa"/>
            </w:tcMar>
            <w:hideMark/>
          </w:tcPr>
          <w:p w14:paraId="7FF2227E" w14:textId="77777777" w:rsidR="00BD7A5F" w:rsidRPr="00BD7A5F" w:rsidRDefault="00BD7A5F" w:rsidP="00BD7A5F">
            <w:pPr>
              <w:pStyle w:val="TAC"/>
              <w:contextualSpacing/>
              <w:jc w:val="left"/>
              <w:rPr>
                <w:sz w:val="14"/>
                <w:szCs w:val="16"/>
                <w:lang w:eastAsia="zh-CN"/>
              </w:rPr>
            </w:pPr>
            <w:r w:rsidRPr="00BD7A5F">
              <w:rPr>
                <w:sz w:val="14"/>
                <w:szCs w:val="16"/>
                <w:lang w:eastAsia="zh-CN"/>
              </w:rPr>
              <w:t>Type 1 UE:</w:t>
            </w:r>
          </w:p>
          <w:p w14:paraId="07222580" w14:textId="77777777" w:rsidR="00BD7A5F" w:rsidRPr="00BD7A5F" w:rsidRDefault="00BD7A5F" w:rsidP="00BD7A5F">
            <w:pPr>
              <w:pStyle w:val="TAC"/>
              <w:contextualSpacing/>
              <w:jc w:val="left"/>
              <w:rPr>
                <w:sz w:val="14"/>
                <w:szCs w:val="16"/>
              </w:rPr>
            </w:pPr>
            <w:r w:rsidRPr="00BD7A5F">
              <w:rPr>
                <w:sz w:val="14"/>
                <w:szCs w:val="16"/>
              </w:rPr>
              <w:t>For D=100us: 15</w:t>
            </w:r>
          </w:p>
          <w:p w14:paraId="44055E5D"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3.4</w:t>
            </w:r>
          </w:p>
          <w:p w14:paraId="1D01FED6"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D=200us: 15</w:t>
            </w:r>
          </w:p>
          <w:p w14:paraId="709A248B" w14:textId="77777777" w:rsidR="00BD7A5F" w:rsidRPr="00BD7A5F" w:rsidRDefault="00BD7A5F" w:rsidP="00BD7A5F">
            <w:pPr>
              <w:pStyle w:val="TAC"/>
              <w:keepNext w:val="0"/>
              <w:numPr>
                <w:ilvl w:val="0"/>
                <w:numId w:val="46"/>
              </w:numPr>
              <w:spacing w:before="40" w:after="40"/>
              <w:contextualSpacing/>
              <w:jc w:val="left"/>
              <w:rPr>
                <w:sz w:val="14"/>
                <w:szCs w:val="16"/>
                <w:lang w:eastAsia="zh-CN"/>
              </w:rPr>
            </w:pPr>
            <w:r w:rsidRPr="00BD7A5F">
              <w:rPr>
                <w:sz w:val="14"/>
                <w:szCs w:val="16"/>
                <w:lang w:eastAsia="zh-CN"/>
              </w:rPr>
              <w:t>T = 4.8</w:t>
            </w:r>
          </w:p>
        </w:tc>
        <w:tc>
          <w:tcPr>
            <w:tcW w:w="1559" w:type="dxa"/>
            <w:tcBorders>
              <w:top w:val="nil"/>
              <w:left w:val="nil"/>
              <w:bottom w:val="single" w:sz="8" w:space="0" w:color="auto"/>
              <w:right w:val="single" w:sz="8" w:space="0" w:color="auto"/>
            </w:tcBorders>
            <w:hideMark/>
          </w:tcPr>
          <w:p w14:paraId="6478C94D" w14:textId="77777777" w:rsidR="00BD7A5F" w:rsidRPr="00BD7A5F" w:rsidRDefault="00BD7A5F" w:rsidP="00BD7A5F">
            <w:pPr>
              <w:pStyle w:val="TAC"/>
              <w:contextualSpacing/>
              <w:jc w:val="left"/>
              <w:rPr>
                <w:sz w:val="14"/>
                <w:szCs w:val="16"/>
                <w:lang w:eastAsia="zh-CN"/>
              </w:rPr>
            </w:pPr>
            <w:r w:rsidRPr="00BD7A5F">
              <w:rPr>
                <w:sz w:val="14"/>
                <w:szCs w:val="16"/>
                <w:lang w:eastAsia="zh-CN"/>
              </w:rPr>
              <w:t>Type 2 UE:</w:t>
            </w:r>
          </w:p>
          <w:p w14:paraId="08CF82E4"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D=200us: 15</w:t>
            </w:r>
          </w:p>
          <w:p w14:paraId="1BDD183B"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6.8</w:t>
            </w:r>
          </w:p>
          <w:p w14:paraId="0BF75A24"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D=400us: 15</w:t>
            </w:r>
          </w:p>
          <w:p w14:paraId="2B49CE3A"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9.6</w:t>
            </w:r>
          </w:p>
          <w:p w14:paraId="497954EC"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D=800us: 15</w:t>
            </w:r>
          </w:p>
          <w:p w14:paraId="4EBBB102"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15.2</w:t>
            </w:r>
          </w:p>
          <w:p w14:paraId="11827A50"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D=1000us: 15</w:t>
            </w:r>
          </w:p>
          <w:p w14:paraId="559B07B5" w14:textId="77777777" w:rsidR="00BD7A5F" w:rsidRPr="00BD7A5F" w:rsidRDefault="00BD7A5F" w:rsidP="00BD7A5F">
            <w:pPr>
              <w:pStyle w:val="TAC"/>
              <w:keepNext w:val="0"/>
              <w:numPr>
                <w:ilvl w:val="0"/>
                <w:numId w:val="46"/>
              </w:numPr>
              <w:spacing w:before="40" w:after="40"/>
              <w:contextualSpacing/>
              <w:jc w:val="left"/>
              <w:rPr>
                <w:sz w:val="14"/>
                <w:szCs w:val="16"/>
                <w:lang w:eastAsia="zh-CN"/>
              </w:rPr>
            </w:pPr>
            <w:r w:rsidRPr="00BD7A5F">
              <w:rPr>
                <w:sz w:val="14"/>
                <w:szCs w:val="16"/>
              </w:rPr>
              <w:t>T = 18</w:t>
            </w:r>
          </w:p>
        </w:tc>
        <w:tc>
          <w:tcPr>
            <w:tcW w:w="1843" w:type="dxa"/>
            <w:tcBorders>
              <w:top w:val="nil"/>
              <w:left w:val="nil"/>
              <w:bottom w:val="single" w:sz="8" w:space="0" w:color="auto"/>
              <w:right w:val="single" w:sz="8" w:space="0" w:color="auto"/>
            </w:tcBorders>
          </w:tcPr>
          <w:p w14:paraId="378390E2" w14:textId="77777777" w:rsidR="00BD7A5F" w:rsidRPr="00BD7A5F" w:rsidRDefault="00BD7A5F" w:rsidP="00136342">
            <w:pPr>
              <w:pStyle w:val="TAC"/>
              <w:rPr>
                <w:sz w:val="14"/>
                <w:szCs w:val="16"/>
                <w:lang w:eastAsia="zh-CN"/>
              </w:rPr>
            </w:pPr>
            <w:r w:rsidRPr="00BD7A5F">
              <w:rPr>
                <w:sz w:val="14"/>
                <w:szCs w:val="16"/>
                <w:lang w:eastAsia="zh-CN"/>
              </w:rPr>
              <w:t>32</w:t>
            </w:r>
          </w:p>
        </w:tc>
      </w:tr>
      <w:tr w:rsidR="00BD7A5F" w:rsidRPr="00BD7A5F" w14:paraId="04EBBB18" w14:textId="77777777" w:rsidTr="00BD7A5F">
        <w:trPr>
          <w:jc w:val="center"/>
        </w:trPr>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FB64A" w14:textId="77777777" w:rsidR="00BD7A5F" w:rsidRPr="00BD7A5F" w:rsidRDefault="00BD7A5F" w:rsidP="00136342">
            <w:pPr>
              <w:pStyle w:val="TAC"/>
              <w:rPr>
                <w:sz w:val="14"/>
                <w:szCs w:val="16"/>
              </w:rPr>
            </w:pPr>
            <w:r w:rsidRPr="00BD7A5F">
              <w:rPr>
                <w:sz w:val="14"/>
                <w:szCs w:val="16"/>
              </w:rPr>
              <w:t>30</w:t>
            </w:r>
          </w:p>
        </w:tc>
        <w:tc>
          <w:tcPr>
            <w:tcW w:w="1186" w:type="dxa"/>
            <w:tcBorders>
              <w:top w:val="nil"/>
              <w:left w:val="nil"/>
              <w:bottom w:val="single" w:sz="8" w:space="0" w:color="auto"/>
              <w:right w:val="single" w:sz="8" w:space="0" w:color="auto"/>
            </w:tcBorders>
            <w:tcMar>
              <w:top w:w="0" w:type="dxa"/>
              <w:left w:w="108" w:type="dxa"/>
              <w:bottom w:w="0" w:type="dxa"/>
              <w:right w:w="108" w:type="dxa"/>
            </w:tcMar>
            <w:hideMark/>
          </w:tcPr>
          <w:p w14:paraId="3180F3D3" w14:textId="77777777" w:rsidR="00BD7A5F" w:rsidRPr="00BD7A5F" w:rsidRDefault="00BD7A5F" w:rsidP="00136342">
            <w:pPr>
              <w:pStyle w:val="TAC"/>
              <w:rPr>
                <w:sz w:val="14"/>
                <w:szCs w:val="16"/>
              </w:rPr>
            </w:pPr>
            <w:r w:rsidRPr="00BD7A5F">
              <w:rPr>
                <w:sz w:val="14"/>
                <w:szCs w:val="16"/>
              </w:rPr>
              <w:t>1.5 / 3</w:t>
            </w:r>
          </w:p>
        </w:tc>
        <w:tc>
          <w:tcPr>
            <w:tcW w:w="1276" w:type="dxa"/>
            <w:tcBorders>
              <w:top w:val="nil"/>
              <w:left w:val="nil"/>
              <w:bottom w:val="single" w:sz="8" w:space="0" w:color="auto"/>
              <w:right w:val="single" w:sz="8" w:space="0" w:color="auto"/>
            </w:tcBorders>
            <w:tcMar>
              <w:top w:w="0" w:type="dxa"/>
              <w:left w:w="0" w:type="dxa"/>
              <w:bottom w:w="0" w:type="dxa"/>
              <w:right w:w="0" w:type="dxa"/>
            </w:tcMar>
            <w:hideMark/>
          </w:tcPr>
          <w:p w14:paraId="3B16AF4F" w14:textId="77777777" w:rsidR="00BD7A5F" w:rsidRPr="00BD7A5F" w:rsidRDefault="00BD7A5F" w:rsidP="00BD7A5F">
            <w:pPr>
              <w:pStyle w:val="TAC"/>
              <w:contextualSpacing/>
              <w:jc w:val="left"/>
              <w:rPr>
                <w:sz w:val="14"/>
                <w:szCs w:val="16"/>
                <w:lang w:eastAsia="zh-CN"/>
              </w:rPr>
            </w:pPr>
            <w:r w:rsidRPr="00BD7A5F">
              <w:rPr>
                <w:sz w:val="14"/>
                <w:szCs w:val="16"/>
                <w:lang w:eastAsia="zh-CN"/>
              </w:rPr>
              <w:t>Type 1 UE:</w:t>
            </w:r>
          </w:p>
          <w:p w14:paraId="70503261" w14:textId="77777777" w:rsidR="00BD7A5F" w:rsidRPr="00BD7A5F" w:rsidRDefault="00BD7A5F" w:rsidP="00BD7A5F">
            <w:pPr>
              <w:pStyle w:val="TAC"/>
              <w:contextualSpacing/>
              <w:jc w:val="left"/>
              <w:rPr>
                <w:sz w:val="14"/>
                <w:szCs w:val="16"/>
              </w:rPr>
            </w:pPr>
            <w:r w:rsidRPr="00BD7A5F">
              <w:rPr>
                <w:sz w:val="14"/>
                <w:szCs w:val="16"/>
              </w:rPr>
              <w:t>For D=100us: 15</w:t>
            </w:r>
          </w:p>
          <w:p w14:paraId="4FA9946B"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2.9</w:t>
            </w:r>
          </w:p>
          <w:p w14:paraId="37AFBD57"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D=200us: 15</w:t>
            </w:r>
          </w:p>
          <w:p w14:paraId="6BFF7EBB"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4.3</w:t>
            </w:r>
          </w:p>
        </w:tc>
        <w:tc>
          <w:tcPr>
            <w:tcW w:w="1559" w:type="dxa"/>
            <w:tcBorders>
              <w:top w:val="nil"/>
              <w:left w:val="nil"/>
              <w:bottom w:val="single" w:sz="8" w:space="0" w:color="auto"/>
              <w:right w:val="single" w:sz="8" w:space="0" w:color="auto"/>
            </w:tcBorders>
            <w:hideMark/>
          </w:tcPr>
          <w:p w14:paraId="43ADBAC1" w14:textId="77777777" w:rsidR="00BD7A5F" w:rsidRPr="00BD7A5F" w:rsidRDefault="00BD7A5F" w:rsidP="00BD7A5F">
            <w:pPr>
              <w:pStyle w:val="TAC"/>
              <w:contextualSpacing/>
              <w:jc w:val="left"/>
              <w:rPr>
                <w:sz w:val="14"/>
                <w:szCs w:val="16"/>
                <w:lang w:eastAsia="zh-CN"/>
              </w:rPr>
            </w:pPr>
            <w:r w:rsidRPr="00BD7A5F">
              <w:rPr>
                <w:sz w:val="14"/>
                <w:szCs w:val="16"/>
                <w:lang w:eastAsia="zh-CN"/>
              </w:rPr>
              <w:t>Type 2 UE:</w:t>
            </w:r>
          </w:p>
          <w:p w14:paraId="7AE24A76"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D=200us: 15</w:t>
            </w:r>
          </w:p>
          <w:p w14:paraId="564F9497"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5.8</w:t>
            </w:r>
          </w:p>
          <w:p w14:paraId="46044B48"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D=400us: 15</w:t>
            </w:r>
          </w:p>
          <w:p w14:paraId="2DC8EE9C"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8.6</w:t>
            </w:r>
          </w:p>
          <w:p w14:paraId="1076AE44"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D=800us: 15</w:t>
            </w:r>
          </w:p>
          <w:p w14:paraId="34082724"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14.2</w:t>
            </w:r>
          </w:p>
          <w:p w14:paraId="37D27203" w14:textId="77777777" w:rsidR="00BD7A5F" w:rsidRPr="00BD7A5F" w:rsidRDefault="00BD7A5F" w:rsidP="00BD7A5F">
            <w:pPr>
              <w:pStyle w:val="TAC"/>
              <w:contextualSpacing/>
              <w:jc w:val="left"/>
              <w:rPr>
                <w:b/>
                <w:sz w:val="14"/>
                <w:szCs w:val="16"/>
                <w:lang w:eastAsia="zh-CN"/>
              </w:rPr>
            </w:pPr>
            <w:r w:rsidRPr="00BD7A5F">
              <w:rPr>
                <w:sz w:val="14"/>
                <w:szCs w:val="16"/>
                <w:lang w:eastAsia="zh-CN"/>
              </w:rPr>
              <w:t xml:space="preserve">For D=1000us: </w:t>
            </w:r>
            <w:r w:rsidRPr="00BD7A5F">
              <w:rPr>
                <w:b/>
                <w:sz w:val="14"/>
                <w:szCs w:val="16"/>
                <w:lang w:eastAsia="zh-CN"/>
              </w:rPr>
              <w:t>14</w:t>
            </w:r>
          </w:p>
          <w:p w14:paraId="1F6CA014"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16</w:t>
            </w:r>
          </w:p>
        </w:tc>
        <w:tc>
          <w:tcPr>
            <w:tcW w:w="1843" w:type="dxa"/>
            <w:tcBorders>
              <w:top w:val="nil"/>
              <w:left w:val="nil"/>
              <w:bottom w:val="single" w:sz="8" w:space="0" w:color="auto"/>
              <w:right w:val="single" w:sz="8" w:space="0" w:color="auto"/>
            </w:tcBorders>
          </w:tcPr>
          <w:p w14:paraId="2545E194" w14:textId="77777777" w:rsidR="00BD7A5F" w:rsidRPr="00BD7A5F" w:rsidRDefault="00BD7A5F" w:rsidP="00136342">
            <w:pPr>
              <w:pStyle w:val="TAC"/>
              <w:rPr>
                <w:sz w:val="14"/>
                <w:szCs w:val="16"/>
                <w:lang w:eastAsia="zh-CN"/>
              </w:rPr>
            </w:pPr>
            <w:r w:rsidRPr="00BD7A5F">
              <w:rPr>
                <w:sz w:val="14"/>
                <w:szCs w:val="16"/>
                <w:lang w:eastAsia="zh-CN"/>
              </w:rPr>
              <w:t>16</w:t>
            </w:r>
          </w:p>
        </w:tc>
      </w:tr>
      <w:tr w:rsidR="00BD7A5F" w:rsidRPr="00BD7A5F" w14:paraId="10E4467D" w14:textId="77777777" w:rsidTr="00BD7A5F">
        <w:trPr>
          <w:jc w:val="center"/>
        </w:trPr>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3067" w14:textId="77777777" w:rsidR="00BD7A5F" w:rsidRPr="00BD7A5F" w:rsidRDefault="00BD7A5F" w:rsidP="00136342">
            <w:pPr>
              <w:pStyle w:val="TAC"/>
              <w:rPr>
                <w:sz w:val="14"/>
                <w:szCs w:val="16"/>
              </w:rPr>
            </w:pPr>
            <w:r w:rsidRPr="00BD7A5F">
              <w:rPr>
                <w:sz w:val="14"/>
                <w:szCs w:val="16"/>
              </w:rPr>
              <w:t>60</w:t>
            </w:r>
          </w:p>
        </w:tc>
        <w:tc>
          <w:tcPr>
            <w:tcW w:w="1186" w:type="dxa"/>
            <w:tcBorders>
              <w:top w:val="nil"/>
              <w:left w:val="nil"/>
              <w:bottom w:val="single" w:sz="8" w:space="0" w:color="auto"/>
              <w:right w:val="single" w:sz="8" w:space="0" w:color="auto"/>
            </w:tcBorders>
            <w:tcMar>
              <w:top w:w="0" w:type="dxa"/>
              <w:left w:w="108" w:type="dxa"/>
              <w:bottom w:w="0" w:type="dxa"/>
              <w:right w:w="108" w:type="dxa"/>
            </w:tcMar>
            <w:hideMark/>
          </w:tcPr>
          <w:p w14:paraId="44CED175" w14:textId="77777777" w:rsidR="00BD7A5F" w:rsidRPr="00BD7A5F" w:rsidRDefault="00BD7A5F" w:rsidP="00136342">
            <w:pPr>
              <w:pStyle w:val="TAC"/>
              <w:rPr>
                <w:sz w:val="14"/>
                <w:szCs w:val="16"/>
              </w:rPr>
            </w:pPr>
            <w:r w:rsidRPr="00BD7A5F">
              <w:rPr>
                <w:sz w:val="14"/>
                <w:szCs w:val="16"/>
              </w:rPr>
              <w:t>1 / 2.5</w:t>
            </w:r>
          </w:p>
        </w:tc>
        <w:tc>
          <w:tcPr>
            <w:tcW w:w="1276" w:type="dxa"/>
            <w:tcBorders>
              <w:top w:val="nil"/>
              <w:left w:val="nil"/>
              <w:bottom w:val="single" w:sz="8" w:space="0" w:color="auto"/>
              <w:right w:val="single" w:sz="8" w:space="0" w:color="auto"/>
            </w:tcBorders>
            <w:tcMar>
              <w:top w:w="0" w:type="dxa"/>
              <w:left w:w="0" w:type="dxa"/>
              <w:bottom w:w="0" w:type="dxa"/>
              <w:right w:w="0" w:type="dxa"/>
            </w:tcMar>
            <w:hideMark/>
          </w:tcPr>
          <w:p w14:paraId="4D4660E0" w14:textId="77777777" w:rsidR="00BD7A5F" w:rsidRPr="00BD7A5F" w:rsidRDefault="00BD7A5F" w:rsidP="00BD7A5F">
            <w:pPr>
              <w:pStyle w:val="TAC"/>
              <w:contextualSpacing/>
              <w:jc w:val="left"/>
              <w:rPr>
                <w:sz w:val="14"/>
                <w:szCs w:val="16"/>
                <w:lang w:eastAsia="zh-CN"/>
              </w:rPr>
            </w:pPr>
            <w:r w:rsidRPr="00BD7A5F">
              <w:rPr>
                <w:sz w:val="14"/>
                <w:szCs w:val="16"/>
                <w:lang w:eastAsia="zh-CN"/>
              </w:rPr>
              <w:t>Type 1 UE:</w:t>
            </w:r>
          </w:p>
          <w:p w14:paraId="1FFF5661" w14:textId="77777777" w:rsidR="00BD7A5F" w:rsidRPr="00BD7A5F" w:rsidRDefault="00BD7A5F" w:rsidP="00BD7A5F">
            <w:pPr>
              <w:pStyle w:val="TAC"/>
              <w:contextualSpacing/>
              <w:jc w:val="left"/>
              <w:rPr>
                <w:sz w:val="14"/>
                <w:szCs w:val="16"/>
              </w:rPr>
            </w:pPr>
            <w:r w:rsidRPr="00BD7A5F">
              <w:rPr>
                <w:sz w:val="14"/>
                <w:szCs w:val="16"/>
              </w:rPr>
              <w:t>For D=100us: 15</w:t>
            </w:r>
          </w:p>
          <w:p w14:paraId="21A19B63"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2.4</w:t>
            </w:r>
          </w:p>
          <w:p w14:paraId="4FD2D7C4"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D=200us: 15</w:t>
            </w:r>
          </w:p>
          <w:p w14:paraId="66AC59E2"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rFonts w:hint="eastAsia"/>
                <w:sz w:val="14"/>
                <w:szCs w:val="16"/>
              </w:rPr>
              <w:t>T = 3.8</w:t>
            </w:r>
          </w:p>
        </w:tc>
        <w:tc>
          <w:tcPr>
            <w:tcW w:w="1559" w:type="dxa"/>
            <w:tcBorders>
              <w:top w:val="nil"/>
              <w:left w:val="nil"/>
              <w:bottom w:val="single" w:sz="8" w:space="0" w:color="auto"/>
              <w:right w:val="single" w:sz="8" w:space="0" w:color="auto"/>
            </w:tcBorders>
            <w:hideMark/>
          </w:tcPr>
          <w:p w14:paraId="7D013194" w14:textId="77777777" w:rsidR="00BD7A5F" w:rsidRPr="00BD7A5F" w:rsidRDefault="00BD7A5F" w:rsidP="00BD7A5F">
            <w:pPr>
              <w:pStyle w:val="TAC"/>
              <w:contextualSpacing/>
              <w:jc w:val="left"/>
              <w:rPr>
                <w:sz w:val="14"/>
                <w:szCs w:val="16"/>
                <w:lang w:eastAsia="zh-CN"/>
              </w:rPr>
            </w:pPr>
            <w:r w:rsidRPr="00BD7A5F">
              <w:rPr>
                <w:sz w:val="14"/>
                <w:szCs w:val="16"/>
                <w:lang w:eastAsia="zh-CN"/>
              </w:rPr>
              <w:t>Type 2 UE:</w:t>
            </w:r>
          </w:p>
          <w:p w14:paraId="31D7EBFC"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D=200us: 15</w:t>
            </w:r>
          </w:p>
          <w:p w14:paraId="4384E7B5"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5.3</w:t>
            </w:r>
          </w:p>
          <w:p w14:paraId="5CB9D754" w14:textId="77777777" w:rsidR="00BD7A5F" w:rsidRPr="00BD7A5F" w:rsidRDefault="00BD7A5F" w:rsidP="00BD7A5F">
            <w:pPr>
              <w:pStyle w:val="TAC"/>
              <w:contextualSpacing/>
              <w:jc w:val="left"/>
              <w:rPr>
                <w:b/>
                <w:sz w:val="14"/>
                <w:szCs w:val="16"/>
                <w:lang w:eastAsia="zh-CN"/>
              </w:rPr>
            </w:pPr>
            <w:r w:rsidRPr="00BD7A5F">
              <w:rPr>
                <w:sz w:val="14"/>
                <w:szCs w:val="16"/>
                <w:lang w:eastAsia="zh-CN"/>
              </w:rPr>
              <w:t xml:space="preserve">For D=400us: </w:t>
            </w:r>
            <w:r w:rsidRPr="00BD7A5F">
              <w:rPr>
                <w:b/>
                <w:sz w:val="14"/>
                <w:szCs w:val="16"/>
                <w:lang w:eastAsia="zh-CN"/>
              </w:rPr>
              <w:t>14</w:t>
            </w:r>
          </w:p>
          <w:p w14:paraId="6086A3C8"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7.7</w:t>
            </w:r>
          </w:p>
          <w:p w14:paraId="28460992" w14:textId="77777777" w:rsidR="00BD7A5F" w:rsidRPr="00BD7A5F" w:rsidRDefault="00BD7A5F" w:rsidP="00BD7A5F">
            <w:pPr>
              <w:pStyle w:val="TAC"/>
              <w:contextualSpacing/>
              <w:jc w:val="left"/>
              <w:rPr>
                <w:b/>
                <w:sz w:val="14"/>
                <w:szCs w:val="16"/>
                <w:lang w:eastAsia="zh-CN"/>
              </w:rPr>
            </w:pPr>
            <w:r w:rsidRPr="00BD7A5F">
              <w:rPr>
                <w:sz w:val="14"/>
                <w:szCs w:val="16"/>
                <w:lang w:eastAsia="zh-CN"/>
              </w:rPr>
              <w:t xml:space="preserve">For D=800us: </w:t>
            </w:r>
            <w:r w:rsidRPr="00BD7A5F">
              <w:rPr>
                <w:b/>
                <w:sz w:val="14"/>
                <w:szCs w:val="16"/>
                <w:lang w:eastAsia="zh-CN"/>
              </w:rPr>
              <w:t>7</w:t>
            </w:r>
          </w:p>
          <w:p w14:paraId="21E9FEAE"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7.3</w:t>
            </w:r>
          </w:p>
          <w:p w14:paraId="28DC2E7B" w14:textId="77777777" w:rsidR="00BD7A5F" w:rsidRPr="00BD7A5F" w:rsidRDefault="00BD7A5F" w:rsidP="00BD7A5F">
            <w:pPr>
              <w:pStyle w:val="TAC"/>
              <w:contextualSpacing/>
              <w:jc w:val="left"/>
              <w:rPr>
                <w:b/>
                <w:sz w:val="14"/>
                <w:szCs w:val="16"/>
                <w:lang w:eastAsia="zh-CN"/>
              </w:rPr>
            </w:pPr>
            <w:r w:rsidRPr="00BD7A5F">
              <w:rPr>
                <w:sz w:val="14"/>
                <w:szCs w:val="16"/>
                <w:lang w:eastAsia="zh-CN"/>
              </w:rPr>
              <w:t xml:space="preserve">For D=1000us: </w:t>
            </w:r>
            <w:r w:rsidRPr="00BD7A5F">
              <w:rPr>
                <w:b/>
                <w:sz w:val="14"/>
                <w:szCs w:val="16"/>
                <w:lang w:eastAsia="zh-CN"/>
              </w:rPr>
              <w:t>6</w:t>
            </w:r>
          </w:p>
          <w:p w14:paraId="21EFF349"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7.5</w:t>
            </w:r>
          </w:p>
        </w:tc>
        <w:tc>
          <w:tcPr>
            <w:tcW w:w="1843" w:type="dxa"/>
            <w:tcBorders>
              <w:top w:val="nil"/>
              <w:left w:val="nil"/>
              <w:bottom w:val="single" w:sz="8" w:space="0" w:color="auto"/>
              <w:right w:val="single" w:sz="8" w:space="0" w:color="auto"/>
            </w:tcBorders>
          </w:tcPr>
          <w:p w14:paraId="0D54FFC1" w14:textId="77777777" w:rsidR="00BD7A5F" w:rsidRPr="00BD7A5F" w:rsidRDefault="00BD7A5F" w:rsidP="00136342">
            <w:pPr>
              <w:pStyle w:val="TAC"/>
              <w:rPr>
                <w:sz w:val="14"/>
                <w:szCs w:val="16"/>
                <w:lang w:eastAsia="zh-CN"/>
              </w:rPr>
            </w:pPr>
            <w:r w:rsidRPr="00BD7A5F">
              <w:rPr>
                <w:sz w:val="14"/>
                <w:szCs w:val="16"/>
                <w:lang w:eastAsia="zh-CN"/>
              </w:rPr>
              <w:t>8</w:t>
            </w:r>
          </w:p>
        </w:tc>
      </w:tr>
      <w:tr w:rsidR="00BD7A5F" w:rsidRPr="00BD7A5F" w14:paraId="0A6A18C1" w14:textId="77777777" w:rsidTr="00BD7A5F">
        <w:trPr>
          <w:jc w:val="center"/>
        </w:trPr>
        <w:tc>
          <w:tcPr>
            <w:tcW w:w="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0E5CE" w14:textId="77777777" w:rsidR="00BD7A5F" w:rsidRPr="00BD7A5F" w:rsidRDefault="00BD7A5F" w:rsidP="00136342">
            <w:pPr>
              <w:pStyle w:val="TAC"/>
              <w:rPr>
                <w:sz w:val="14"/>
                <w:szCs w:val="16"/>
              </w:rPr>
            </w:pPr>
            <w:r w:rsidRPr="00BD7A5F">
              <w:rPr>
                <w:sz w:val="14"/>
                <w:szCs w:val="16"/>
              </w:rPr>
              <w:t>120</w:t>
            </w:r>
          </w:p>
        </w:tc>
        <w:tc>
          <w:tcPr>
            <w:tcW w:w="1186" w:type="dxa"/>
            <w:tcBorders>
              <w:top w:val="nil"/>
              <w:left w:val="nil"/>
              <w:bottom w:val="single" w:sz="8" w:space="0" w:color="auto"/>
              <w:right w:val="single" w:sz="8" w:space="0" w:color="auto"/>
            </w:tcBorders>
            <w:tcMar>
              <w:top w:w="0" w:type="dxa"/>
              <w:left w:w="108" w:type="dxa"/>
              <w:bottom w:w="0" w:type="dxa"/>
              <w:right w:w="108" w:type="dxa"/>
            </w:tcMar>
            <w:hideMark/>
          </w:tcPr>
          <w:p w14:paraId="262CD2C0" w14:textId="77777777" w:rsidR="00BD7A5F" w:rsidRPr="00BD7A5F" w:rsidRDefault="00BD7A5F" w:rsidP="00136342">
            <w:pPr>
              <w:pStyle w:val="TAC"/>
              <w:rPr>
                <w:sz w:val="14"/>
                <w:szCs w:val="16"/>
              </w:rPr>
            </w:pPr>
            <w:r w:rsidRPr="00BD7A5F">
              <w:rPr>
                <w:sz w:val="14"/>
                <w:szCs w:val="16"/>
              </w:rPr>
              <w:t>0.875 / 2.375</w:t>
            </w:r>
          </w:p>
        </w:tc>
        <w:tc>
          <w:tcPr>
            <w:tcW w:w="1276" w:type="dxa"/>
            <w:tcBorders>
              <w:top w:val="nil"/>
              <w:left w:val="nil"/>
              <w:bottom w:val="single" w:sz="8" w:space="0" w:color="auto"/>
              <w:right w:val="single" w:sz="8" w:space="0" w:color="auto"/>
            </w:tcBorders>
            <w:tcMar>
              <w:top w:w="0" w:type="dxa"/>
              <w:left w:w="0" w:type="dxa"/>
              <w:bottom w:w="0" w:type="dxa"/>
              <w:right w:w="0" w:type="dxa"/>
            </w:tcMar>
            <w:hideMark/>
          </w:tcPr>
          <w:p w14:paraId="209DCB18" w14:textId="77777777" w:rsidR="00BD7A5F" w:rsidRPr="00BD7A5F" w:rsidRDefault="00BD7A5F" w:rsidP="00BD7A5F">
            <w:pPr>
              <w:pStyle w:val="TAC"/>
              <w:contextualSpacing/>
              <w:jc w:val="left"/>
              <w:rPr>
                <w:sz w:val="14"/>
                <w:szCs w:val="16"/>
                <w:lang w:eastAsia="zh-CN"/>
              </w:rPr>
            </w:pPr>
            <w:r w:rsidRPr="00BD7A5F">
              <w:rPr>
                <w:sz w:val="14"/>
                <w:szCs w:val="16"/>
                <w:lang w:eastAsia="zh-CN"/>
              </w:rPr>
              <w:t>Type 1 UE:</w:t>
            </w:r>
          </w:p>
          <w:p w14:paraId="60852C29" w14:textId="77777777" w:rsidR="00BD7A5F" w:rsidRPr="00BD7A5F" w:rsidRDefault="00BD7A5F" w:rsidP="00BD7A5F">
            <w:pPr>
              <w:pStyle w:val="TAC"/>
              <w:contextualSpacing/>
              <w:jc w:val="left"/>
              <w:rPr>
                <w:sz w:val="14"/>
                <w:szCs w:val="16"/>
              </w:rPr>
            </w:pPr>
            <w:r w:rsidRPr="00BD7A5F">
              <w:rPr>
                <w:sz w:val="14"/>
                <w:szCs w:val="16"/>
              </w:rPr>
              <w:t>For D=100us: 15</w:t>
            </w:r>
          </w:p>
          <w:p w14:paraId="6FFC15EE"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2.275</w:t>
            </w:r>
          </w:p>
          <w:p w14:paraId="34E24106" w14:textId="77777777" w:rsidR="00BD7A5F" w:rsidRPr="00BD7A5F" w:rsidRDefault="00BD7A5F" w:rsidP="00BD7A5F">
            <w:pPr>
              <w:pStyle w:val="TAC"/>
              <w:contextualSpacing/>
              <w:jc w:val="left"/>
              <w:rPr>
                <w:sz w:val="14"/>
                <w:szCs w:val="16"/>
                <w:lang w:eastAsia="zh-CN"/>
              </w:rPr>
            </w:pPr>
            <w:r w:rsidRPr="00BD7A5F">
              <w:rPr>
                <w:sz w:val="14"/>
                <w:szCs w:val="16"/>
                <w:lang w:eastAsia="zh-CN"/>
              </w:rPr>
              <w:t>For D=200us: 15</w:t>
            </w:r>
          </w:p>
          <w:p w14:paraId="66E55CDE"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3.675</w:t>
            </w:r>
          </w:p>
        </w:tc>
        <w:tc>
          <w:tcPr>
            <w:tcW w:w="1559" w:type="dxa"/>
            <w:tcBorders>
              <w:top w:val="nil"/>
              <w:left w:val="nil"/>
              <w:bottom w:val="single" w:sz="8" w:space="0" w:color="auto"/>
              <w:right w:val="single" w:sz="8" w:space="0" w:color="auto"/>
            </w:tcBorders>
            <w:hideMark/>
          </w:tcPr>
          <w:p w14:paraId="08289AC0" w14:textId="77777777" w:rsidR="00BD7A5F" w:rsidRPr="00BD7A5F" w:rsidRDefault="00BD7A5F" w:rsidP="00BD7A5F">
            <w:pPr>
              <w:pStyle w:val="TAC"/>
              <w:contextualSpacing/>
              <w:jc w:val="left"/>
              <w:rPr>
                <w:sz w:val="14"/>
                <w:szCs w:val="16"/>
                <w:lang w:eastAsia="zh-CN"/>
              </w:rPr>
            </w:pPr>
            <w:r w:rsidRPr="00BD7A5F">
              <w:rPr>
                <w:sz w:val="14"/>
                <w:szCs w:val="16"/>
                <w:lang w:eastAsia="zh-CN"/>
              </w:rPr>
              <w:t>Type 2 UE:</w:t>
            </w:r>
          </w:p>
          <w:p w14:paraId="18C57305" w14:textId="77777777" w:rsidR="00BD7A5F" w:rsidRPr="00BD7A5F" w:rsidRDefault="00BD7A5F" w:rsidP="00BD7A5F">
            <w:pPr>
              <w:pStyle w:val="TAC"/>
              <w:contextualSpacing/>
              <w:jc w:val="left"/>
              <w:rPr>
                <w:b/>
                <w:sz w:val="14"/>
                <w:szCs w:val="16"/>
                <w:lang w:eastAsia="zh-CN"/>
              </w:rPr>
            </w:pPr>
            <w:r w:rsidRPr="00BD7A5F">
              <w:rPr>
                <w:sz w:val="14"/>
                <w:szCs w:val="16"/>
                <w:lang w:eastAsia="zh-CN"/>
              </w:rPr>
              <w:t xml:space="preserve">For D=200us: </w:t>
            </w:r>
            <w:r w:rsidRPr="00BD7A5F">
              <w:rPr>
                <w:b/>
                <w:sz w:val="14"/>
                <w:szCs w:val="16"/>
                <w:lang w:eastAsia="zh-CN"/>
              </w:rPr>
              <w:t>9</w:t>
            </w:r>
          </w:p>
          <w:p w14:paraId="69DA544A"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3.975</w:t>
            </w:r>
          </w:p>
          <w:p w14:paraId="77E0940A" w14:textId="77777777" w:rsidR="00BD7A5F" w:rsidRPr="00BD7A5F" w:rsidRDefault="00BD7A5F" w:rsidP="00BD7A5F">
            <w:pPr>
              <w:pStyle w:val="TAC"/>
              <w:contextualSpacing/>
              <w:jc w:val="left"/>
              <w:rPr>
                <w:b/>
                <w:sz w:val="14"/>
                <w:szCs w:val="16"/>
                <w:lang w:eastAsia="zh-CN"/>
              </w:rPr>
            </w:pPr>
            <w:r w:rsidRPr="00BD7A5F">
              <w:rPr>
                <w:sz w:val="14"/>
                <w:szCs w:val="16"/>
                <w:lang w:eastAsia="zh-CN"/>
              </w:rPr>
              <w:t xml:space="preserve">For D=400us: </w:t>
            </w:r>
            <w:r w:rsidRPr="00BD7A5F">
              <w:rPr>
                <w:b/>
                <w:sz w:val="14"/>
                <w:szCs w:val="16"/>
                <w:lang w:eastAsia="zh-CN"/>
              </w:rPr>
              <w:t>5</w:t>
            </w:r>
          </w:p>
          <w:p w14:paraId="7D9C38D1"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3.975</w:t>
            </w:r>
          </w:p>
          <w:p w14:paraId="6D3CAD6C" w14:textId="77777777" w:rsidR="00BD7A5F" w:rsidRPr="00BD7A5F" w:rsidRDefault="00BD7A5F" w:rsidP="00BD7A5F">
            <w:pPr>
              <w:pStyle w:val="TAC"/>
              <w:contextualSpacing/>
              <w:jc w:val="left"/>
              <w:rPr>
                <w:b/>
                <w:sz w:val="14"/>
                <w:szCs w:val="16"/>
                <w:lang w:eastAsia="zh-CN"/>
              </w:rPr>
            </w:pPr>
            <w:r w:rsidRPr="00BD7A5F">
              <w:rPr>
                <w:sz w:val="14"/>
                <w:szCs w:val="16"/>
                <w:lang w:eastAsia="zh-CN"/>
              </w:rPr>
              <w:t xml:space="preserve">For D=800us: </w:t>
            </w:r>
            <w:r w:rsidRPr="00BD7A5F">
              <w:rPr>
                <w:b/>
                <w:sz w:val="14"/>
                <w:szCs w:val="16"/>
                <w:lang w:eastAsia="zh-CN"/>
              </w:rPr>
              <w:t>3</w:t>
            </w:r>
          </w:p>
          <w:p w14:paraId="4BD6000B"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3.975</w:t>
            </w:r>
          </w:p>
          <w:p w14:paraId="6BCC90EB" w14:textId="77777777" w:rsidR="00BD7A5F" w:rsidRPr="00BD7A5F" w:rsidRDefault="00BD7A5F" w:rsidP="00BD7A5F">
            <w:pPr>
              <w:pStyle w:val="TAC"/>
              <w:contextualSpacing/>
              <w:jc w:val="left"/>
              <w:rPr>
                <w:b/>
                <w:sz w:val="14"/>
                <w:szCs w:val="16"/>
                <w:lang w:eastAsia="zh-CN"/>
              </w:rPr>
            </w:pPr>
            <w:r w:rsidRPr="00BD7A5F">
              <w:rPr>
                <w:sz w:val="14"/>
                <w:szCs w:val="16"/>
                <w:lang w:eastAsia="zh-CN"/>
              </w:rPr>
              <w:t xml:space="preserve">For D=1000us: </w:t>
            </w:r>
            <w:r w:rsidRPr="00BD7A5F">
              <w:rPr>
                <w:b/>
                <w:sz w:val="14"/>
                <w:szCs w:val="16"/>
                <w:lang w:eastAsia="zh-CN"/>
              </w:rPr>
              <w:t>2</w:t>
            </w:r>
          </w:p>
          <w:p w14:paraId="21E068EE" w14:textId="77777777" w:rsidR="00BD7A5F" w:rsidRPr="00BD7A5F" w:rsidRDefault="00BD7A5F" w:rsidP="00BD7A5F">
            <w:pPr>
              <w:pStyle w:val="TAC"/>
              <w:keepNext w:val="0"/>
              <w:numPr>
                <w:ilvl w:val="0"/>
                <w:numId w:val="46"/>
              </w:numPr>
              <w:spacing w:before="40" w:after="40"/>
              <w:contextualSpacing/>
              <w:jc w:val="left"/>
              <w:rPr>
                <w:sz w:val="14"/>
                <w:szCs w:val="16"/>
              </w:rPr>
            </w:pPr>
            <w:r w:rsidRPr="00BD7A5F">
              <w:rPr>
                <w:sz w:val="14"/>
                <w:szCs w:val="16"/>
              </w:rPr>
              <w:t>T = 3.375</w:t>
            </w:r>
          </w:p>
        </w:tc>
        <w:tc>
          <w:tcPr>
            <w:tcW w:w="1843" w:type="dxa"/>
            <w:tcBorders>
              <w:top w:val="nil"/>
              <w:left w:val="nil"/>
              <w:bottom w:val="single" w:sz="8" w:space="0" w:color="auto"/>
              <w:right w:val="single" w:sz="8" w:space="0" w:color="auto"/>
            </w:tcBorders>
          </w:tcPr>
          <w:p w14:paraId="3926391E" w14:textId="77777777" w:rsidR="00BD7A5F" w:rsidRPr="00BD7A5F" w:rsidRDefault="00BD7A5F" w:rsidP="00136342">
            <w:pPr>
              <w:pStyle w:val="TAC"/>
              <w:rPr>
                <w:sz w:val="14"/>
                <w:szCs w:val="16"/>
                <w:lang w:eastAsia="zh-CN"/>
              </w:rPr>
            </w:pPr>
            <w:r w:rsidRPr="00BD7A5F">
              <w:rPr>
                <w:sz w:val="14"/>
                <w:szCs w:val="16"/>
                <w:lang w:eastAsia="zh-CN"/>
              </w:rPr>
              <w:t>4</w:t>
            </w:r>
          </w:p>
        </w:tc>
      </w:tr>
    </w:tbl>
    <w:p w14:paraId="71777B31" w14:textId="77777777" w:rsidR="00315134" w:rsidRPr="00C37575" w:rsidRDefault="00315134" w:rsidP="00315134">
      <w:pPr>
        <w:spacing w:before="240" w:after="0"/>
        <w:jc w:val="center"/>
        <w:rPr>
          <w:rFonts w:eastAsia="Times New Roman"/>
          <w:color w:val="365F91" w:themeColor="accent1" w:themeShade="BF"/>
          <w:sz w:val="22"/>
          <w:szCs w:val="22"/>
          <w:lang w:eastAsia="ko-KR"/>
        </w:rPr>
      </w:pPr>
      <w:r w:rsidRPr="00C37575">
        <w:rPr>
          <w:rFonts w:eastAsia="Times New Roman"/>
          <w:color w:val="365F91" w:themeColor="accent1" w:themeShade="BF"/>
          <w:sz w:val="22"/>
          <w:szCs w:val="22"/>
          <w:lang w:eastAsia="ko-KR"/>
        </w:rPr>
        <w:t>* * *</w:t>
      </w:r>
    </w:p>
    <w:p w14:paraId="73F57E91" w14:textId="2ACA6876" w:rsidR="00F5543F" w:rsidRDefault="00515947" w:rsidP="00C37575">
      <w:pPr>
        <w:spacing w:before="240" w:after="0"/>
        <w:rPr>
          <w:rFonts w:eastAsia="Times New Roman"/>
          <w:sz w:val="22"/>
          <w:szCs w:val="22"/>
          <w:lang w:eastAsia="ko-KR"/>
        </w:rPr>
      </w:pPr>
      <w:r>
        <w:rPr>
          <w:rFonts w:eastAsia="Times New Roman"/>
          <w:sz w:val="22"/>
          <w:szCs w:val="22"/>
          <w:lang w:eastAsia="ko-KR"/>
        </w:rPr>
        <w:t>In the reply LS RAN1 confirms th</w:t>
      </w:r>
      <w:r w:rsidR="00C37575">
        <w:rPr>
          <w:rFonts w:eastAsia="Times New Roman"/>
          <w:sz w:val="22"/>
          <w:szCs w:val="22"/>
          <w:lang w:eastAsia="ko-KR"/>
        </w:rPr>
        <w:t>e</w:t>
      </w:r>
      <w:r>
        <w:rPr>
          <w:rFonts w:eastAsia="Times New Roman"/>
          <w:sz w:val="22"/>
          <w:szCs w:val="22"/>
          <w:lang w:eastAsia="ko-KR"/>
        </w:rPr>
        <w:t xml:space="preserve"> observations made by RAN4 on that there will be a cap on number of CCs for which </w:t>
      </w:r>
      <w:r w:rsidR="00C37575">
        <w:rPr>
          <w:rFonts w:eastAsia="Times New Roman"/>
          <w:sz w:val="22"/>
          <w:szCs w:val="22"/>
          <w:lang w:eastAsia="ko-KR"/>
        </w:rPr>
        <w:t xml:space="preserve">DCI-based </w:t>
      </w:r>
      <w:r>
        <w:rPr>
          <w:rFonts w:eastAsia="Times New Roman"/>
          <w:sz w:val="22"/>
          <w:szCs w:val="22"/>
          <w:lang w:eastAsia="ko-KR"/>
        </w:rPr>
        <w:t>simultaneous active BWP switching</w:t>
      </w:r>
      <w:r w:rsidR="00C37575">
        <w:rPr>
          <w:rFonts w:eastAsia="Times New Roman"/>
          <w:sz w:val="22"/>
          <w:szCs w:val="22"/>
          <w:lang w:eastAsia="ko-KR"/>
        </w:rPr>
        <w:t>,</w:t>
      </w:r>
      <w:r>
        <w:rPr>
          <w:rFonts w:eastAsia="Times New Roman"/>
          <w:sz w:val="22"/>
          <w:szCs w:val="22"/>
          <w:lang w:eastAsia="ko-KR"/>
        </w:rPr>
        <w:t xml:space="preserve"> or </w:t>
      </w:r>
      <w:r w:rsidR="00C37575">
        <w:rPr>
          <w:rFonts w:eastAsia="Times New Roman"/>
          <w:sz w:val="22"/>
          <w:szCs w:val="22"/>
          <w:lang w:eastAsia="ko-KR"/>
        </w:rPr>
        <w:t xml:space="preserve">SCell </w:t>
      </w:r>
      <w:r>
        <w:rPr>
          <w:rFonts w:eastAsia="Times New Roman"/>
          <w:sz w:val="22"/>
          <w:szCs w:val="22"/>
          <w:lang w:eastAsia="ko-KR"/>
        </w:rPr>
        <w:t>dormancy switching</w:t>
      </w:r>
      <w:r w:rsidR="00C37575">
        <w:rPr>
          <w:rFonts w:eastAsia="Times New Roman"/>
          <w:sz w:val="22"/>
          <w:szCs w:val="22"/>
          <w:lang w:eastAsia="ko-KR"/>
        </w:rPr>
        <w:t>,</w:t>
      </w:r>
      <w:r>
        <w:rPr>
          <w:rFonts w:eastAsia="Times New Roman"/>
          <w:sz w:val="22"/>
          <w:szCs w:val="22"/>
          <w:lang w:eastAsia="ko-KR"/>
        </w:rPr>
        <w:t xml:space="preserve"> can be carried out, and </w:t>
      </w:r>
      <w:r w:rsidR="00C37575">
        <w:rPr>
          <w:rFonts w:eastAsia="Times New Roman"/>
          <w:sz w:val="22"/>
          <w:szCs w:val="22"/>
          <w:lang w:eastAsia="ko-KR"/>
        </w:rPr>
        <w:t xml:space="preserve">further that </w:t>
      </w:r>
      <w:r>
        <w:rPr>
          <w:rFonts w:eastAsia="Times New Roman"/>
          <w:sz w:val="22"/>
          <w:szCs w:val="22"/>
          <w:lang w:eastAsia="ko-KR"/>
        </w:rPr>
        <w:t>the cap depends on UE capability with respect to Type1/Type2 switching</w:t>
      </w:r>
      <w:r w:rsidR="00C37575">
        <w:rPr>
          <w:rFonts w:eastAsia="Times New Roman"/>
          <w:sz w:val="22"/>
          <w:szCs w:val="22"/>
          <w:lang w:eastAsia="ko-KR"/>
        </w:rPr>
        <w:t>,</w:t>
      </w:r>
      <w:r>
        <w:rPr>
          <w:rFonts w:eastAsia="Times New Roman"/>
          <w:sz w:val="22"/>
          <w:szCs w:val="22"/>
          <w:lang w:eastAsia="ko-KR"/>
        </w:rPr>
        <w:t xml:space="preserve"> incremental processing time</w:t>
      </w:r>
      <w:r w:rsidR="00F5543F">
        <w:rPr>
          <w:rFonts w:eastAsia="Times New Roman"/>
          <w:sz w:val="22"/>
          <w:szCs w:val="22"/>
          <w:lang w:eastAsia="ko-KR"/>
        </w:rPr>
        <w:t xml:space="preserve"> D, as well as on other configurations such as SCSs used in spCell and SCell(s).</w:t>
      </w:r>
    </w:p>
    <w:p w14:paraId="68B8E3DA" w14:textId="76E71718" w:rsidR="00CC0D50" w:rsidRDefault="00F5543F" w:rsidP="00C37575">
      <w:pPr>
        <w:spacing w:before="240" w:after="0"/>
        <w:rPr>
          <w:rFonts w:eastAsia="Times New Roman"/>
          <w:sz w:val="22"/>
          <w:szCs w:val="22"/>
          <w:lang w:eastAsia="ko-KR"/>
        </w:rPr>
      </w:pPr>
      <w:r>
        <w:rPr>
          <w:rFonts w:eastAsia="Times New Roman"/>
          <w:sz w:val="22"/>
          <w:szCs w:val="22"/>
          <w:lang w:eastAsia="ko-KR"/>
        </w:rPr>
        <w:t xml:space="preserve">RAN1 clearly states that the problem is fully understood, but further that changes to the value ranges of </w:t>
      </w:r>
      <w:r>
        <w:rPr>
          <w:rFonts w:eastAsia="Times New Roman"/>
          <w:i/>
          <w:iCs/>
          <w:sz w:val="22"/>
          <w:szCs w:val="22"/>
          <w:lang w:eastAsia="ko-KR"/>
        </w:rPr>
        <w:t xml:space="preserve">k0 </w:t>
      </w:r>
      <w:r>
        <w:rPr>
          <w:rFonts w:eastAsia="Times New Roman"/>
          <w:sz w:val="22"/>
          <w:szCs w:val="22"/>
          <w:lang w:eastAsia="ko-KR"/>
        </w:rPr>
        <w:t>(minimum scheduling offset DL)</w:t>
      </w:r>
      <w:r>
        <w:rPr>
          <w:rFonts w:eastAsia="Times New Roman"/>
          <w:i/>
          <w:iCs/>
          <w:sz w:val="22"/>
          <w:szCs w:val="22"/>
          <w:lang w:eastAsia="ko-KR"/>
        </w:rPr>
        <w:t>, k1</w:t>
      </w:r>
      <w:r w:rsidRPr="00F5543F">
        <w:rPr>
          <w:rFonts w:eastAsia="Times New Roman"/>
          <w:sz w:val="22"/>
          <w:szCs w:val="22"/>
          <w:lang w:eastAsia="ko-KR"/>
        </w:rPr>
        <w:t xml:space="preserve"> </w:t>
      </w:r>
      <w:r>
        <w:rPr>
          <w:rFonts w:eastAsia="Times New Roman"/>
          <w:sz w:val="22"/>
          <w:szCs w:val="22"/>
          <w:lang w:eastAsia="ko-KR"/>
        </w:rPr>
        <w:t xml:space="preserve">(HARQ-ACK timing) </w:t>
      </w:r>
      <w:r w:rsidRPr="00F5543F">
        <w:rPr>
          <w:rFonts w:eastAsia="Times New Roman"/>
          <w:sz w:val="22"/>
          <w:szCs w:val="22"/>
          <w:lang w:eastAsia="ko-KR"/>
        </w:rPr>
        <w:t>and</w:t>
      </w:r>
      <w:r>
        <w:rPr>
          <w:rFonts w:eastAsia="Times New Roman"/>
          <w:i/>
          <w:iCs/>
          <w:sz w:val="22"/>
          <w:szCs w:val="22"/>
          <w:lang w:eastAsia="ko-KR"/>
        </w:rPr>
        <w:t xml:space="preserve"> k2 </w:t>
      </w:r>
      <w:r>
        <w:rPr>
          <w:rFonts w:eastAsia="Times New Roman"/>
          <w:sz w:val="22"/>
          <w:szCs w:val="22"/>
          <w:lang w:eastAsia="ko-KR"/>
        </w:rPr>
        <w:t>(minimum shceduling offset UL), by which the limitation would have been avoided, will not be carried out in the Rel-16 scope.</w:t>
      </w:r>
      <w:r w:rsidR="00CC0D50">
        <w:rPr>
          <w:rFonts w:eastAsia="Times New Roman"/>
          <w:sz w:val="22"/>
          <w:szCs w:val="22"/>
          <w:lang w:eastAsia="ko-KR"/>
        </w:rPr>
        <w:t xml:space="preserve"> In order to avoid confusion, we propose that a hint on that there is a practical cap is introduced in TS 38.133 as follows (</w:t>
      </w:r>
      <w:r w:rsidR="00CC0D50" w:rsidRPr="00CC0D50">
        <w:rPr>
          <w:rFonts w:eastAsia="Times New Roman"/>
          <w:sz w:val="22"/>
          <w:szCs w:val="22"/>
          <w:shd w:val="clear" w:color="auto" w:fill="D6E3BC" w:themeFill="accent3" w:themeFillTint="66"/>
          <w:lang w:eastAsia="ko-KR"/>
        </w:rPr>
        <w:t>highlighted</w:t>
      </w:r>
      <w:r w:rsidR="00CC0D50">
        <w:rPr>
          <w:rFonts w:eastAsia="Times New Roman"/>
          <w:sz w:val="22"/>
          <w:szCs w:val="22"/>
          <w:lang w:eastAsia="ko-KR"/>
        </w:rPr>
        <w:t>)</w:t>
      </w:r>
    </w:p>
    <w:p w14:paraId="67CF252E" w14:textId="76A5DDC5" w:rsidR="0073302F" w:rsidRDefault="0073302F" w:rsidP="0073302F">
      <w:pPr>
        <w:spacing w:before="240" w:after="0"/>
        <w:jc w:val="center"/>
        <w:rPr>
          <w:rFonts w:eastAsia="Times New Roman"/>
          <w:color w:val="365F91" w:themeColor="accent1" w:themeShade="BF"/>
          <w:sz w:val="22"/>
          <w:szCs w:val="22"/>
          <w:lang w:eastAsia="ko-KR"/>
        </w:rPr>
      </w:pPr>
      <w:r w:rsidRPr="0073302F">
        <w:rPr>
          <w:rFonts w:eastAsia="Times New Roman"/>
          <w:color w:val="365F91" w:themeColor="accent1" w:themeShade="BF"/>
          <w:sz w:val="22"/>
          <w:szCs w:val="22"/>
          <w:lang w:eastAsia="ko-KR"/>
        </w:rPr>
        <w:t>* * *</w:t>
      </w:r>
    </w:p>
    <w:p w14:paraId="13EB0757" w14:textId="77777777" w:rsidR="00CC0D50" w:rsidRPr="00854C16" w:rsidRDefault="00CC0D50" w:rsidP="00CC0D50">
      <w:pPr>
        <w:pStyle w:val="Heading4"/>
        <w:numPr>
          <w:ilvl w:val="0"/>
          <w:numId w:val="0"/>
        </w:numPr>
        <w:spacing w:after="0"/>
        <w:ind w:left="568"/>
        <w:rPr>
          <w:sz w:val="20"/>
          <w:szCs w:val="16"/>
          <w:lang w:val="en-US" w:eastAsia="zh-CN"/>
        </w:rPr>
      </w:pPr>
      <w:r w:rsidRPr="00854C16">
        <w:rPr>
          <w:sz w:val="20"/>
          <w:szCs w:val="16"/>
          <w:lang w:val="en-US" w:eastAsia="zh-CN"/>
        </w:rPr>
        <w:t>8.6.2A.1</w:t>
      </w:r>
      <w:r w:rsidRPr="00854C16">
        <w:rPr>
          <w:sz w:val="20"/>
          <w:szCs w:val="16"/>
          <w:lang w:val="en-US" w:eastAsia="zh-CN"/>
        </w:rPr>
        <w:tab/>
        <w:t>Simultaneous DCI based BWP switch delay on multiple CCs</w:t>
      </w:r>
    </w:p>
    <w:p w14:paraId="3A855066" w14:textId="77777777" w:rsidR="00CC0D50" w:rsidRDefault="00CC0D50" w:rsidP="00CC0D50">
      <w:pPr>
        <w:spacing w:after="0"/>
        <w:ind w:left="568"/>
        <w:rPr>
          <w:rFonts w:eastAsia="Times New Roman"/>
          <w:sz w:val="18"/>
          <w:szCs w:val="18"/>
          <w:lang w:val="en-US" w:eastAsia="zh-CN"/>
        </w:rPr>
      </w:pPr>
      <w:r>
        <w:rPr>
          <w:rFonts w:eastAsia="Times New Roman"/>
          <w:sz w:val="18"/>
          <w:szCs w:val="18"/>
          <w:lang w:val="en-US" w:eastAsia="zh-CN"/>
        </w:rPr>
        <w:t>[...]</w:t>
      </w:r>
    </w:p>
    <w:p w14:paraId="276A30F3" w14:textId="77777777" w:rsidR="00CC0D50" w:rsidRPr="00854C16" w:rsidRDefault="00CC0D50" w:rsidP="00CC0D50">
      <w:pPr>
        <w:ind w:left="568"/>
        <w:rPr>
          <w:rFonts w:eastAsia="Times New Roman"/>
          <w:sz w:val="18"/>
          <w:szCs w:val="18"/>
        </w:rPr>
      </w:pPr>
      <w:r w:rsidRPr="00854C16">
        <w:rPr>
          <w:rFonts w:eastAsia="Times New Roman"/>
          <w:sz w:val="18"/>
          <w:szCs w:val="18"/>
          <w:lang w:val="en-US" w:eastAsia="zh-CN"/>
        </w:rPr>
        <w:t xml:space="preserve">UE shall finish BWP switch within the time duration </w:t>
      </w:r>
      <w:r w:rsidRPr="00854C16">
        <w:rPr>
          <w:rFonts w:eastAsia="Times New Roman"/>
          <w:sz w:val="18"/>
          <w:szCs w:val="18"/>
        </w:rPr>
        <w:t>T</w:t>
      </w:r>
      <w:r w:rsidRPr="00854C16">
        <w:rPr>
          <w:rFonts w:eastAsia="Times New Roman"/>
          <w:sz w:val="18"/>
          <w:szCs w:val="18"/>
          <w:vertAlign w:val="subscript"/>
        </w:rPr>
        <w:t xml:space="preserve">MultipleBWPswitchDelay </w:t>
      </w:r>
      <w:r w:rsidRPr="00854C16">
        <w:rPr>
          <w:rFonts w:eastAsia="Times New Roman"/>
          <w:sz w:val="18"/>
          <w:szCs w:val="18"/>
          <w:vertAlign w:val="subscript"/>
        </w:rPr>
        <w:softHyphen/>
      </w:r>
      <w:r w:rsidRPr="00854C16">
        <w:rPr>
          <w:rFonts w:eastAsia="Times New Roman"/>
          <w:sz w:val="18"/>
          <w:szCs w:val="18"/>
        </w:rPr>
        <w:t>if the serving cell where UE receives DCI for BWP switch is same as the serving cell on which BWP switch occurs for each involved serving cell</w:t>
      </w:r>
      <w:r w:rsidRPr="00854C16">
        <w:rPr>
          <w:rFonts w:eastAsia="Times New Roman"/>
          <w:sz w:val="18"/>
          <w:szCs w:val="18"/>
          <w:vertAlign w:val="subscript"/>
        </w:rPr>
        <w:t>,</w:t>
      </w:r>
      <w:r w:rsidRPr="00854C16">
        <w:rPr>
          <w:rFonts w:eastAsia="Times New Roman"/>
          <w:sz w:val="18"/>
          <w:szCs w:val="18"/>
        </w:rPr>
        <w:t xml:space="preserve"> which is defined as:</w:t>
      </w:r>
    </w:p>
    <w:p w14:paraId="2FE4903A" w14:textId="77777777" w:rsidR="00CC0D50" w:rsidRPr="00854C16" w:rsidRDefault="00CC0D50" w:rsidP="00CC0D50">
      <w:pPr>
        <w:keepLines/>
        <w:tabs>
          <w:tab w:val="center" w:pos="4536"/>
          <w:tab w:val="right" w:pos="9072"/>
        </w:tabs>
        <w:ind w:left="568"/>
        <w:rPr>
          <w:rFonts w:eastAsia="Times New Roman"/>
          <w:noProof/>
          <w:sz w:val="18"/>
          <w:szCs w:val="18"/>
        </w:rPr>
      </w:pPr>
      <w:r w:rsidRPr="00854C16">
        <w:rPr>
          <w:rFonts w:eastAsia="Times New Roman"/>
          <w:noProof/>
          <w:sz w:val="18"/>
          <w:szCs w:val="18"/>
        </w:rPr>
        <w:tab/>
        <w:t>T</w:t>
      </w:r>
      <w:r w:rsidRPr="00854C16">
        <w:rPr>
          <w:rFonts w:eastAsia="Times New Roman"/>
          <w:noProof/>
          <w:sz w:val="18"/>
          <w:szCs w:val="18"/>
          <w:vertAlign w:val="subscript"/>
        </w:rPr>
        <w:t>MultipleBWPswitchDelay</w:t>
      </w:r>
      <w:r w:rsidRPr="00854C16">
        <w:rPr>
          <w:rFonts w:eastAsia="Times New Roman"/>
          <w:noProof/>
          <w:sz w:val="18"/>
          <w:szCs w:val="18"/>
        </w:rPr>
        <w:t xml:space="preserve"> = </w:t>
      </w:r>
      <w:r w:rsidRPr="00854C16">
        <w:rPr>
          <w:rFonts w:eastAsia="Times New Roman"/>
          <w:noProof/>
          <w:sz w:val="18"/>
          <w:szCs w:val="18"/>
          <w:lang w:eastAsia="zh-CN"/>
        </w:rPr>
        <w:t>T</w:t>
      </w:r>
      <w:r w:rsidRPr="00854C16">
        <w:rPr>
          <w:rFonts w:eastAsia="Times New Roman"/>
          <w:noProof/>
          <w:sz w:val="18"/>
          <w:szCs w:val="18"/>
          <w:vertAlign w:val="subscript"/>
          <w:lang w:eastAsia="zh-CN"/>
        </w:rPr>
        <w:t>BWPswitchDelay</w:t>
      </w:r>
      <w:r w:rsidRPr="00854C16">
        <w:rPr>
          <w:rFonts w:eastAsia="Times New Roman"/>
          <w:noProof/>
          <w:sz w:val="18"/>
          <w:szCs w:val="18"/>
          <w:lang w:eastAsia="zh-CN"/>
        </w:rPr>
        <w:t xml:space="preserve"> + D*(N-1) </w:t>
      </w:r>
    </w:p>
    <w:p w14:paraId="6E7DD284" w14:textId="77777777" w:rsidR="00CC0D50" w:rsidRPr="00854C16" w:rsidRDefault="00CC0D50" w:rsidP="00CC0D50">
      <w:pPr>
        <w:ind w:left="568"/>
        <w:rPr>
          <w:rFonts w:eastAsia="Times New Roman"/>
          <w:sz w:val="18"/>
          <w:szCs w:val="18"/>
          <w:lang w:val="en-US" w:eastAsia="zh-CN"/>
        </w:rPr>
      </w:pPr>
      <w:r w:rsidRPr="00854C16">
        <w:rPr>
          <w:rFonts w:eastAsia="Times New Roman"/>
          <w:sz w:val="18"/>
          <w:szCs w:val="18"/>
          <w:lang w:val="en-US" w:eastAsia="zh-CN"/>
        </w:rPr>
        <w:t>Where:</w:t>
      </w:r>
    </w:p>
    <w:p w14:paraId="6C01FCCC" w14:textId="77777777" w:rsidR="00CC0D50" w:rsidRPr="00854C16" w:rsidRDefault="00CC0D50" w:rsidP="00CC0D50">
      <w:pPr>
        <w:ind w:left="1136" w:hanging="284"/>
        <w:rPr>
          <w:rFonts w:eastAsia="Times New Roman"/>
          <w:sz w:val="18"/>
          <w:szCs w:val="18"/>
          <w:lang w:val="en-US" w:eastAsia="zh-CN"/>
        </w:rPr>
      </w:pPr>
      <w:r w:rsidRPr="00854C16">
        <w:rPr>
          <w:rFonts w:eastAsia="Times New Roman"/>
          <w:sz w:val="18"/>
          <w:szCs w:val="18"/>
          <w:lang w:val="en-US" w:eastAsia="zh-CN"/>
        </w:rPr>
        <w:t>-</w:t>
      </w:r>
      <w:r w:rsidRPr="00854C16">
        <w:rPr>
          <w:rFonts w:eastAsia="Times New Roman"/>
          <w:sz w:val="18"/>
          <w:szCs w:val="18"/>
          <w:lang w:val="en-US" w:eastAsia="zh-CN"/>
        </w:rPr>
        <w:tab/>
        <w:t>T</w:t>
      </w:r>
      <w:r w:rsidRPr="00854C16">
        <w:rPr>
          <w:rFonts w:eastAsia="Times New Roman"/>
          <w:sz w:val="18"/>
          <w:szCs w:val="18"/>
          <w:vertAlign w:val="subscript"/>
          <w:lang w:val="en-US" w:eastAsia="zh-CN"/>
        </w:rPr>
        <w:t>BWPswitchDelay</w:t>
      </w:r>
      <w:r w:rsidRPr="00854C16">
        <w:rPr>
          <w:rFonts w:eastAsia="Times New Roman"/>
          <w:sz w:val="18"/>
          <w:szCs w:val="18"/>
          <w:lang w:val="en-US" w:eastAsia="zh-CN"/>
        </w:rPr>
        <w:t xml:space="preserve"> is the BWP switching delay on single CC defined in Table 8.6.2-1 depending on UE capability </w:t>
      </w:r>
      <w:r w:rsidRPr="00854C16">
        <w:rPr>
          <w:rFonts w:eastAsia="Times New Roman"/>
          <w:i/>
          <w:sz w:val="18"/>
          <w:szCs w:val="18"/>
          <w:lang w:val="en-US" w:eastAsia="zh-CN"/>
        </w:rPr>
        <w:t>bwp-SwitchingDelay</w:t>
      </w:r>
      <w:r w:rsidRPr="00854C16">
        <w:rPr>
          <w:rFonts w:eastAsia="Times New Roman"/>
          <w:sz w:val="18"/>
          <w:szCs w:val="18"/>
          <w:lang w:val="en-US" w:eastAsia="zh-CN"/>
        </w:rPr>
        <w:t xml:space="preserve"> [2]. </w:t>
      </w:r>
      <w:r w:rsidRPr="00854C16">
        <w:rPr>
          <w:rFonts w:eastAsia="Times New Roman"/>
          <w:sz w:val="18"/>
          <w:szCs w:val="18"/>
          <w:lang w:eastAsia="zh-CN"/>
        </w:rPr>
        <w:t>T</w:t>
      </w:r>
      <w:r w:rsidRPr="00854C16">
        <w:rPr>
          <w:rFonts w:eastAsia="Times New Roman"/>
          <w:sz w:val="18"/>
          <w:szCs w:val="18"/>
          <w:vertAlign w:val="subscript"/>
          <w:lang w:eastAsia="zh-CN"/>
        </w:rPr>
        <w:t>BWPswitchDelay</w:t>
      </w:r>
      <w:r w:rsidRPr="00854C16">
        <w:rPr>
          <w:rFonts w:eastAsia="Times New Roman"/>
          <w:sz w:val="18"/>
          <w:szCs w:val="18"/>
          <w:lang w:eastAsia="zh-CN"/>
        </w:rPr>
        <w:t xml:space="preserve"> shall be based on the smallest SCS among SCS of all involved CCs before and after BWP switch. If the BWP switch on multiple CCs results in the change of the SCS on any CC among involved CCs, T</w:t>
      </w:r>
      <w:r w:rsidRPr="00854C16">
        <w:rPr>
          <w:rFonts w:eastAsia="Times New Roman"/>
          <w:sz w:val="18"/>
          <w:szCs w:val="18"/>
          <w:vertAlign w:val="subscript"/>
          <w:lang w:eastAsia="zh-CN"/>
        </w:rPr>
        <w:t>BWPswitchDelay</w:t>
      </w:r>
      <w:r w:rsidRPr="00854C16">
        <w:rPr>
          <w:rFonts w:eastAsia="Times New Roman"/>
          <w:sz w:val="18"/>
          <w:szCs w:val="18"/>
          <w:lang w:eastAsia="zh-CN"/>
        </w:rPr>
        <w:t xml:space="preserve"> should be based on the smallest SCS among all SCS values of all involved CCs. </w:t>
      </w:r>
    </w:p>
    <w:p w14:paraId="234C1F37" w14:textId="03B7C73D" w:rsidR="00CC0D50" w:rsidRPr="00854C16" w:rsidRDefault="00CC0D50" w:rsidP="00CC0D50">
      <w:pPr>
        <w:ind w:left="1136" w:hanging="284"/>
        <w:rPr>
          <w:rFonts w:eastAsia="Times New Roman"/>
          <w:sz w:val="22"/>
          <w:szCs w:val="22"/>
          <w:lang w:val="en-US" w:eastAsia="zh-CN"/>
        </w:rPr>
      </w:pPr>
      <w:r w:rsidRPr="00854C16">
        <w:rPr>
          <w:rFonts w:eastAsia="Times New Roman"/>
          <w:sz w:val="18"/>
          <w:szCs w:val="18"/>
          <w:lang w:val="en-US" w:eastAsia="zh-CN"/>
        </w:rPr>
        <w:t>-</w:t>
      </w:r>
      <w:r w:rsidRPr="00854C16">
        <w:rPr>
          <w:rFonts w:eastAsia="Times New Roman"/>
          <w:sz w:val="18"/>
          <w:szCs w:val="18"/>
          <w:lang w:val="en-US" w:eastAsia="zh-CN"/>
        </w:rPr>
        <w:tab/>
        <w:t xml:space="preserve">D is the incremental delay for each additional CC involved in simultaneous BWP switch and depends on UE capability </w:t>
      </w:r>
      <w:r w:rsidRPr="00854C16">
        <w:rPr>
          <w:rFonts w:eastAsia="Times New Roman"/>
          <w:i/>
          <w:sz w:val="18"/>
          <w:szCs w:val="18"/>
          <w:lang w:val="en-US" w:eastAsia="zh-CN"/>
        </w:rPr>
        <w:t>bwp-SwitchingMultiCCs-r16</w:t>
      </w:r>
      <w:r w:rsidRPr="00854C16">
        <w:rPr>
          <w:rFonts w:eastAsia="Times New Roman"/>
          <w:sz w:val="18"/>
          <w:szCs w:val="18"/>
          <w:lang w:val="en-US" w:eastAsia="zh-CN"/>
        </w:rPr>
        <w:t xml:space="preserve"> [13]</w:t>
      </w:r>
      <w:r>
        <w:rPr>
          <w:rFonts w:eastAsia="Times New Roman"/>
          <w:sz w:val="18"/>
          <w:szCs w:val="18"/>
          <w:lang w:val="en-US" w:eastAsia="zh-CN"/>
        </w:rPr>
        <w:t>.</w:t>
      </w:r>
    </w:p>
    <w:p w14:paraId="4165A233" w14:textId="263D5D21" w:rsidR="00CC0D50" w:rsidRPr="00CC0D50" w:rsidRDefault="00CC0D50" w:rsidP="00CC0D50">
      <w:pPr>
        <w:ind w:left="1136" w:hanging="284"/>
        <w:rPr>
          <w:rFonts w:eastAsia="Times New Roman"/>
          <w:color w:val="4F81BD" w:themeColor="accent1"/>
          <w:sz w:val="18"/>
          <w:szCs w:val="18"/>
          <w:lang w:val="en-US" w:eastAsia="zh-CN"/>
        </w:rPr>
      </w:pPr>
      <w:r w:rsidRPr="00854C16">
        <w:rPr>
          <w:rFonts w:eastAsia="Times New Roman"/>
          <w:sz w:val="18"/>
          <w:szCs w:val="18"/>
          <w:lang w:val="en-US" w:eastAsia="zh-CN"/>
        </w:rPr>
        <w:t>-</w:t>
      </w:r>
      <w:r w:rsidRPr="00854C16">
        <w:rPr>
          <w:rFonts w:eastAsia="Times New Roman"/>
          <w:sz w:val="18"/>
          <w:szCs w:val="18"/>
          <w:lang w:val="en-US" w:eastAsia="zh-CN"/>
        </w:rPr>
        <w:tab/>
      </w:r>
      <w:r w:rsidRPr="00854C16">
        <w:rPr>
          <w:rFonts w:eastAsia="Times New Roman"/>
          <w:sz w:val="18"/>
          <w:szCs w:val="18"/>
        </w:rPr>
        <w:t>For UE which is capable of per-FR gap, and no BWP switch involves SCS change, N is the number of CCs in same FR; For UE which is not capable of per-FR gap,</w:t>
      </w:r>
      <w:r w:rsidRPr="00854C16">
        <w:rPr>
          <w:rFonts w:eastAsia="Times New Roman"/>
          <w:sz w:val="18"/>
          <w:szCs w:val="18"/>
          <w:lang w:eastAsia="zh-CN"/>
        </w:rPr>
        <w:t xml:space="preserve"> or the BWP switches on any CC involves SCS changing,</w:t>
      </w:r>
      <w:r w:rsidRPr="00854C16">
        <w:rPr>
          <w:rFonts w:eastAsia="Times New Roman"/>
          <w:sz w:val="18"/>
          <w:szCs w:val="18"/>
          <w:lang w:val="en-US" w:eastAsia="zh-CN"/>
        </w:rPr>
        <w:t xml:space="preserve"> N is the number of CCs undergoing simultaneous BWP switch.</w:t>
      </w:r>
      <w:r>
        <w:rPr>
          <w:rFonts w:eastAsia="Times New Roman"/>
          <w:color w:val="4F81BD" w:themeColor="accent1"/>
          <w:sz w:val="18"/>
          <w:szCs w:val="18"/>
          <w:lang w:val="en-US" w:eastAsia="zh-CN"/>
        </w:rPr>
        <w:t xml:space="preserve"> </w:t>
      </w:r>
      <w:r w:rsidRPr="00CC0D50">
        <w:rPr>
          <w:rFonts w:eastAsia="Times New Roman"/>
          <w:sz w:val="18"/>
          <w:szCs w:val="18"/>
          <w:shd w:val="clear" w:color="auto" w:fill="D6E3BC" w:themeFill="accent3" w:themeFillTint="66"/>
          <w:lang w:val="en-US" w:eastAsia="zh-CN"/>
        </w:rPr>
        <w:t>The number of carriers N that can be switched simultaneously is capped by T</w:t>
      </w:r>
      <w:r w:rsidRPr="00CC0D50">
        <w:rPr>
          <w:rFonts w:eastAsia="Times New Roman"/>
          <w:sz w:val="18"/>
          <w:szCs w:val="18"/>
          <w:shd w:val="clear" w:color="auto" w:fill="D6E3BC" w:themeFill="accent3" w:themeFillTint="66"/>
          <w:vertAlign w:val="subscript"/>
          <w:lang w:val="en-US" w:eastAsia="zh-CN"/>
        </w:rPr>
        <w:t>BWPswitchDelay</w:t>
      </w:r>
      <w:r w:rsidRPr="00CC0D50">
        <w:rPr>
          <w:rFonts w:eastAsia="Times New Roman"/>
          <w:sz w:val="18"/>
          <w:szCs w:val="18"/>
          <w:shd w:val="clear" w:color="auto" w:fill="D6E3BC" w:themeFill="accent3" w:themeFillTint="66"/>
          <w:lang w:val="en-US" w:eastAsia="zh-CN"/>
        </w:rPr>
        <w:t xml:space="preserve">, incremental switching </w:t>
      </w:r>
      <w:r w:rsidR="00D07EBE">
        <w:rPr>
          <w:rFonts w:eastAsia="Times New Roman"/>
          <w:sz w:val="18"/>
          <w:szCs w:val="18"/>
          <w:shd w:val="clear" w:color="auto" w:fill="D6E3BC" w:themeFill="accent3" w:themeFillTint="66"/>
          <w:lang w:val="en-US" w:eastAsia="zh-CN"/>
        </w:rPr>
        <w:t>delay</w:t>
      </w:r>
      <w:r w:rsidRPr="00CC0D50">
        <w:rPr>
          <w:rFonts w:eastAsia="Times New Roman"/>
          <w:sz w:val="18"/>
          <w:szCs w:val="18"/>
          <w:shd w:val="clear" w:color="auto" w:fill="D6E3BC" w:themeFill="accent3" w:themeFillTint="66"/>
          <w:lang w:val="en-US" w:eastAsia="zh-CN"/>
        </w:rPr>
        <w:t xml:space="preserve"> </w:t>
      </w:r>
      <w:r w:rsidRPr="00CC0D50">
        <w:rPr>
          <w:rFonts w:eastAsia="Times New Roman"/>
          <w:i/>
          <w:iCs/>
          <w:sz w:val="18"/>
          <w:szCs w:val="18"/>
          <w:shd w:val="clear" w:color="auto" w:fill="D6E3BC" w:themeFill="accent3" w:themeFillTint="66"/>
          <w:lang w:val="en-US" w:eastAsia="zh-CN"/>
        </w:rPr>
        <w:t>D</w:t>
      </w:r>
      <w:r w:rsidRPr="00CC0D50">
        <w:rPr>
          <w:rFonts w:eastAsia="Times New Roman"/>
          <w:sz w:val="18"/>
          <w:szCs w:val="18"/>
          <w:shd w:val="clear" w:color="auto" w:fill="D6E3BC" w:themeFill="accent3" w:themeFillTint="66"/>
          <w:lang w:val="en-US" w:eastAsia="zh-CN"/>
        </w:rPr>
        <w:t xml:space="preserve">, and the value of whichever applies of minimum scheduling offset on DL, </w:t>
      </w:r>
      <w:r w:rsidRPr="00CC0D50">
        <w:rPr>
          <w:rFonts w:eastAsia="Times New Roman"/>
          <w:i/>
          <w:iCs/>
          <w:sz w:val="18"/>
          <w:szCs w:val="18"/>
          <w:shd w:val="clear" w:color="auto" w:fill="D6E3BC" w:themeFill="accent3" w:themeFillTint="66"/>
          <w:lang w:val="en-US" w:eastAsia="zh-CN"/>
        </w:rPr>
        <w:t>k0</w:t>
      </w:r>
      <w:r w:rsidRPr="00CC0D50">
        <w:rPr>
          <w:rFonts w:eastAsia="Times New Roman"/>
          <w:sz w:val="18"/>
          <w:szCs w:val="18"/>
          <w:shd w:val="clear" w:color="auto" w:fill="D6E3BC" w:themeFill="accent3" w:themeFillTint="66"/>
          <w:lang w:val="en-US" w:eastAsia="zh-CN"/>
        </w:rPr>
        <w:t xml:space="preserve">, HARQ ACK-timing, </w:t>
      </w:r>
      <w:r w:rsidRPr="00CC0D50">
        <w:rPr>
          <w:rFonts w:eastAsia="Times New Roman"/>
          <w:i/>
          <w:iCs/>
          <w:sz w:val="18"/>
          <w:szCs w:val="18"/>
          <w:shd w:val="clear" w:color="auto" w:fill="D6E3BC" w:themeFill="accent3" w:themeFillTint="66"/>
          <w:lang w:val="en-US" w:eastAsia="zh-CN"/>
        </w:rPr>
        <w:t>k1</w:t>
      </w:r>
      <w:r w:rsidRPr="00CC0D50">
        <w:rPr>
          <w:rFonts w:eastAsia="Times New Roman"/>
          <w:sz w:val="18"/>
          <w:szCs w:val="18"/>
          <w:shd w:val="clear" w:color="auto" w:fill="D6E3BC" w:themeFill="accent3" w:themeFillTint="66"/>
          <w:lang w:val="en-US" w:eastAsia="zh-CN"/>
        </w:rPr>
        <w:t xml:space="preserve">, and minimum scheduling offset on UL, </w:t>
      </w:r>
      <w:r w:rsidRPr="00CC0D50">
        <w:rPr>
          <w:rFonts w:eastAsia="Times New Roman"/>
          <w:i/>
          <w:iCs/>
          <w:sz w:val="18"/>
          <w:szCs w:val="18"/>
          <w:shd w:val="clear" w:color="auto" w:fill="D6E3BC" w:themeFill="accent3" w:themeFillTint="66"/>
          <w:lang w:val="en-US" w:eastAsia="zh-CN"/>
        </w:rPr>
        <w:t>k2</w:t>
      </w:r>
      <w:r w:rsidRPr="00CC0D50">
        <w:rPr>
          <w:rFonts w:eastAsia="Times New Roman"/>
          <w:sz w:val="18"/>
          <w:szCs w:val="18"/>
          <w:shd w:val="clear" w:color="auto" w:fill="D6E3BC" w:themeFill="accent3" w:themeFillTint="66"/>
          <w:lang w:val="en-US" w:eastAsia="zh-CN"/>
        </w:rPr>
        <w:t>.</w:t>
      </w:r>
    </w:p>
    <w:p w14:paraId="17F9403F" w14:textId="3C631D3E" w:rsidR="00CC0D50" w:rsidRDefault="00CC0D50" w:rsidP="00CC0D50">
      <w:pPr>
        <w:spacing w:after="0"/>
        <w:ind w:left="568"/>
        <w:rPr>
          <w:rFonts w:eastAsia="Times New Roman"/>
          <w:sz w:val="18"/>
          <w:szCs w:val="18"/>
        </w:rPr>
      </w:pPr>
      <w:r w:rsidRPr="00854C16">
        <w:rPr>
          <w:rFonts w:eastAsia="Times New Roman"/>
          <w:sz w:val="18"/>
          <w:szCs w:val="18"/>
          <w:lang w:val="en-US" w:eastAsia="zh-CN"/>
        </w:rPr>
        <w:t xml:space="preserve">UE shall finish BWP switch within the time duration </w:t>
      </w:r>
      <w:r w:rsidRPr="00854C16">
        <w:rPr>
          <w:rFonts w:eastAsia="Times New Roman"/>
          <w:sz w:val="18"/>
          <w:szCs w:val="18"/>
        </w:rPr>
        <w:t>T</w:t>
      </w:r>
      <w:r w:rsidRPr="00854C16">
        <w:rPr>
          <w:rFonts w:eastAsia="Times New Roman"/>
          <w:sz w:val="18"/>
          <w:szCs w:val="18"/>
          <w:vertAlign w:val="subscript"/>
        </w:rPr>
        <w:t xml:space="preserve">MultipleBWPswitchDelay </w:t>
      </w:r>
      <w:r w:rsidRPr="00854C16">
        <w:rPr>
          <w:rFonts w:eastAsia="Times New Roman" w:hint="eastAsia"/>
          <w:sz w:val="18"/>
          <w:szCs w:val="18"/>
          <w:lang w:eastAsia="zh-CN"/>
        </w:rPr>
        <w:t>+</w:t>
      </w:r>
      <w:r w:rsidRPr="00854C16">
        <w:rPr>
          <w:rFonts w:eastAsia="Times New Roman"/>
          <w:sz w:val="18"/>
          <w:szCs w:val="18"/>
        </w:rPr>
        <w:t xml:space="preserve"> </w:t>
      </w:r>
      <w:r w:rsidRPr="00854C16">
        <w:rPr>
          <w:rFonts w:eastAsia="Times New Roman" w:hint="eastAsia"/>
          <w:sz w:val="18"/>
          <w:szCs w:val="18"/>
          <w:lang w:eastAsia="zh-CN"/>
        </w:rPr>
        <w:t>Y</w:t>
      </w:r>
      <w:r w:rsidRPr="00854C16">
        <w:rPr>
          <w:rFonts w:eastAsia="Times New Roman"/>
          <w:sz w:val="18"/>
          <w:szCs w:val="18"/>
        </w:rPr>
        <w:t xml:space="preserve"> </w:t>
      </w:r>
      <w:r w:rsidRPr="00854C16">
        <w:rPr>
          <w:rFonts w:eastAsia="Times New Roman"/>
          <w:sz w:val="18"/>
          <w:szCs w:val="18"/>
          <w:vertAlign w:val="subscript"/>
        </w:rPr>
        <w:softHyphen/>
      </w:r>
      <w:r w:rsidRPr="00854C16">
        <w:rPr>
          <w:rFonts w:eastAsia="Times New Roman"/>
          <w:sz w:val="18"/>
          <w:szCs w:val="18"/>
        </w:rPr>
        <w:t>if the serving cell where UE receives DCI for BWP switch is different from the serving cell on which BWP switch occurs for any involved serving cell</w:t>
      </w:r>
      <w:r w:rsidRPr="00854C16">
        <w:rPr>
          <w:rFonts w:eastAsia="Times New Roman"/>
          <w:sz w:val="18"/>
          <w:szCs w:val="18"/>
          <w:vertAlign w:val="subscript"/>
        </w:rPr>
        <w:t>,</w:t>
      </w:r>
      <w:r w:rsidRPr="00854C16">
        <w:rPr>
          <w:rFonts w:eastAsia="Times New Roman"/>
          <w:sz w:val="18"/>
          <w:szCs w:val="18"/>
        </w:rPr>
        <w:t xml:space="preserve"> where Y equals to the length of one slot at smaller SCS of scheduling cell, scheduled cells before and scheduled cells after active BWP change.</w:t>
      </w:r>
    </w:p>
    <w:p w14:paraId="50227F7C" w14:textId="77777777" w:rsidR="00CC0D50" w:rsidRDefault="00CC0D50" w:rsidP="00CC0D50">
      <w:pPr>
        <w:ind w:left="568"/>
        <w:rPr>
          <w:rFonts w:eastAsia="Times New Roman"/>
          <w:sz w:val="18"/>
          <w:szCs w:val="18"/>
        </w:rPr>
      </w:pPr>
      <w:r>
        <w:rPr>
          <w:rFonts w:eastAsia="Times New Roman"/>
          <w:sz w:val="18"/>
          <w:szCs w:val="18"/>
        </w:rPr>
        <w:t>[...]</w:t>
      </w:r>
    </w:p>
    <w:p w14:paraId="0966EC58" w14:textId="77777777" w:rsidR="0073302F" w:rsidRPr="0073302F" w:rsidRDefault="0073302F" w:rsidP="0073302F">
      <w:pPr>
        <w:spacing w:before="240" w:after="0"/>
        <w:jc w:val="center"/>
        <w:rPr>
          <w:rFonts w:eastAsia="Times New Roman"/>
          <w:color w:val="365F91" w:themeColor="accent1" w:themeShade="BF"/>
          <w:sz w:val="22"/>
          <w:szCs w:val="22"/>
          <w:lang w:eastAsia="ko-KR"/>
        </w:rPr>
      </w:pPr>
      <w:r w:rsidRPr="0073302F">
        <w:rPr>
          <w:rFonts w:eastAsia="Times New Roman"/>
          <w:color w:val="365F91" w:themeColor="accent1" w:themeShade="BF"/>
          <w:sz w:val="22"/>
          <w:szCs w:val="22"/>
          <w:lang w:eastAsia="ko-KR"/>
        </w:rPr>
        <w:t>* * *</w:t>
      </w:r>
    </w:p>
    <w:p w14:paraId="359F53BC" w14:textId="44ECAE63" w:rsidR="00105D78" w:rsidRPr="00D07EBE" w:rsidRDefault="00DF54C9" w:rsidP="00D07EBE">
      <w:pPr>
        <w:spacing w:after="0"/>
        <w:ind w:left="1134" w:hanging="1134"/>
        <w:rPr>
          <w:rFonts w:eastAsia="Times New Roman"/>
          <w:sz w:val="22"/>
          <w:szCs w:val="22"/>
          <w:lang w:eastAsia="ko-KR"/>
        </w:rPr>
      </w:pPr>
      <w:r w:rsidRPr="00CC0D50">
        <w:rPr>
          <w:rFonts w:eastAsia="Times New Roman"/>
          <w:b/>
          <w:bCs/>
          <w:color w:val="365F91" w:themeColor="accent1" w:themeShade="BF"/>
          <w:sz w:val="22"/>
          <w:szCs w:val="22"/>
          <w:lang w:eastAsia="ko-KR"/>
        </w:rPr>
        <w:t xml:space="preserve">Proposal 1: </w:t>
      </w:r>
      <w:r w:rsidR="00D07EBE">
        <w:rPr>
          <w:rFonts w:eastAsia="Times New Roman"/>
          <w:b/>
          <w:bCs/>
          <w:color w:val="365F91" w:themeColor="accent1" w:themeShade="BF"/>
          <w:sz w:val="22"/>
          <w:szCs w:val="22"/>
          <w:lang w:eastAsia="ko-KR"/>
        </w:rPr>
        <w:tab/>
      </w:r>
      <w:r w:rsidR="00CC0D50" w:rsidRPr="00CC0D50">
        <w:rPr>
          <w:rFonts w:eastAsia="Times New Roman"/>
          <w:sz w:val="22"/>
          <w:szCs w:val="22"/>
          <w:lang w:eastAsia="ko-KR"/>
        </w:rPr>
        <w:t xml:space="preserve">A clarification </w:t>
      </w:r>
      <w:r w:rsidR="00D07EBE">
        <w:rPr>
          <w:rFonts w:eastAsia="Times New Roman"/>
          <w:sz w:val="22"/>
          <w:szCs w:val="22"/>
          <w:lang w:eastAsia="ko-KR"/>
        </w:rPr>
        <w:t>is added to the description of N where it is hinted that the maximum value of N that can be supported is depending on T</w:t>
      </w:r>
      <w:r w:rsidR="00D07EBE" w:rsidRPr="00D07EBE">
        <w:rPr>
          <w:rFonts w:eastAsia="Times New Roman"/>
          <w:sz w:val="22"/>
          <w:szCs w:val="22"/>
          <w:vertAlign w:val="subscript"/>
          <w:lang w:eastAsia="ko-KR"/>
        </w:rPr>
        <w:t>BWPswitchDelay</w:t>
      </w:r>
      <w:r w:rsidR="00D07EBE">
        <w:rPr>
          <w:rFonts w:eastAsia="Times New Roman"/>
          <w:sz w:val="22"/>
          <w:szCs w:val="22"/>
          <w:lang w:eastAsia="ko-KR"/>
        </w:rPr>
        <w:t xml:space="preserve"> (</w:t>
      </w:r>
      <w:r w:rsidR="00D07EBE" w:rsidRPr="00D07EBE">
        <w:rPr>
          <w:rFonts w:eastAsia="Times New Roman"/>
          <w:i/>
          <w:iCs/>
          <w:sz w:val="22"/>
          <w:szCs w:val="22"/>
          <w:lang w:eastAsia="ko-KR"/>
        </w:rPr>
        <w:t>bwp-SwitchingDelay-r16</w:t>
      </w:r>
      <w:r w:rsidR="00D07EBE">
        <w:rPr>
          <w:rFonts w:eastAsia="Times New Roman"/>
          <w:sz w:val="22"/>
          <w:szCs w:val="22"/>
          <w:lang w:eastAsia="ko-KR"/>
        </w:rPr>
        <w:t xml:space="preserve">), incremental switching delay D, and whichever applies of </w:t>
      </w:r>
      <w:r w:rsidR="00D07EBE" w:rsidRPr="00D07EBE">
        <w:rPr>
          <w:rFonts w:eastAsia="Times New Roman"/>
          <w:sz w:val="22"/>
          <w:szCs w:val="22"/>
          <w:lang w:val="en-US" w:eastAsia="zh-CN"/>
        </w:rPr>
        <w:t>minimum scheduling offset on DL</w:t>
      </w:r>
      <w:r w:rsidR="00D07EBE">
        <w:rPr>
          <w:rFonts w:eastAsia="Times New Roman"/>
          <w:sz w:val="22"/>
          <w:szCs w:val="22"/>
          <w:lang w:val="en-US" w:eastAsia="zh-CN"/>
        </w:rPr>
        <w:t xml:space="preserve"> (</w:t>
      </w:r>
      <w:r w:rsidR="00D07EBE" w:rsidRPr="00D07EBE">
        <w:rPr>
          <w:rFonts w:eastAsia="Times New Roman"/>
          <w:i/>
          <w:iCs/>
          <w:sz w:val="22"/>
          <w:szCs w:val="22"/>
          <w:lang w:val="en-US" w:eastAsia="zh-CN"/>
        </w:rPr>
        <w:t>k0</w:t>
      </w:r>
      <w:r w:rsidR="00D07EBE">
        <w:rPr>
          <w:rFonts w:eastAsia="Times New Roman"/>
          <w:sz w:val="22"/>
          <w:szCs w:val="22"/>
          <w:lang w:val="en-US" w:eastAsia="zh-CN"/>
        </w:rPr>
        <w:t>)</w:t>
      </w:r>
      <w:r w:rsidR="00D07EBE" w:rsidRPr="00D07EBE">
        <w:rPr>
          <w:rFonts w:eastAsia="Times New Roman"/>
          <w:sz w:val="22"/>
          <w:szCs w:val="22"/>
          <w:lang w:val="en-US" w:eastAsia="zh-CN"/>
        </w:rPr>
        <w:t>, HARQ ACK-timing</w:t>
      </w:r>
      <w:r w:rsidR="00D07EBE">
        <w:rPr>
          <w:rFonts w:eastAsia="Times New Roman"/>
          <w:sz w:val="22"/>
          <w:szCs w:val="22"/>
          <w:lang w:val="en-US" w:eastAsia="zh-CN"/>
        </w:rPr>
        <w:t xml:space="preserve"> (</w:t>
      </w:r>
      <w:r w:rsidR="00D07EBE" w:rsidRPr="00D07EBE">
        <w:rPr>
          <w:rFonts w:eastAsia="Times New Roman"/>
          <w:i/>
          <w:iCs/>
          <w:sz w:val="22"/>
          <w:szCs w:val="22"/>
          <w:lang w:val="en-US" w:eastAsia="zh-CN"/>
        </w:rPr>
        <w:t>k1</w:t>
      </w:r>
      <w:r w:rsidR="00D07EBE">
        <w:rPr>
          <w:rFonts w:eastAsia="Times New Roman"/>
          <w:sz w:val="22"/>
          <w:szCs w:val="22"/>
          <w:lang w:val="en-US" w:eastAsia="zh-CN"/>
        </w:rPr>
        <w:t>)</w:t>
      </w:r>
      <w:r w:rsidR="00D07EBE" w:rsidRPr="00D07EBE">
        <w:rPr>
          <w:rFonts w:eastAsia="Times New Roman"/>
          <w:sz w:val="22"/>
          <w:szCs w:val="22"/>
          <w:lang w:val="en-US" w:eastAsia="zh-CN"/>
        </w:rPr>
        <w:t>, and minimum scheduling offset on UL</w:t>
      </w:r>
      <w:r w:rsidR="00D07EBE">
        <w:rPr>
          <w:rFonts w:eastAsia="Times New Roman"/>
          <w:sz w:val="22"/>
          <w:szCs w:val="22"/>
          <w:lang w:val="en-US" w:eastAsia="zh-CN"/>
        </w:rPr>
        <w:t xml:space="preserve"> (</w:t>
      </w:r>
      <w:r w:rsidR="00D07EBE" w:rsidRPr="00D07EBE">
        <w:rPr>
          <w:rFonts w:eastAsia="Times New Roman"/>
          <w:i/>
          <w:iCs/>
          <w:sz w:val="22"/>
          <w:szCs w:val="22"/>
          <w:lang w:val="en-US" w:eastAsia="zh-CN"/>
        </w:rPr>
        <w:t>k2</w:t>
      </w:r>
      <w:r w:rsidR="00D07EBE">
        <w:rPr>
          <w:rFonts w:eastAsia="Times New Roman"/>
          <w:sz w:val="22"/>
          <w:szCs w:val="22"/>
          <w:lang w:val="en-US" w:eastAsia="zh-CN"/>
        </w:rPr>
        <w:t>).</w:t>
      </w:r>
    </w:p>
    <w:p w14:paraId="490F43AD" w14:textId="77777777" w:rsidR="00FB1365" w:rsidRPr="00265DE2" w:rsidRDefault="00FB1365" w:rsidP="00FB1365">
      <w:pPr>
        <w:spacing w:after="0"/>
        <w:rPr>
          <w:rFonts w:asciiTheme="minorHAnsi" w:eastAsia="Times New Roman" w:hAnsiTheme="minorHAnsi" w:cstheme="minorHAnsi"/>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77FD6BD2" w14:textId="72CBAAA0" w:rsidR="00D07EBE" w:rsidRPr="00AE54B2" w:rsidRDefault="00AE54B2" w:rsidP="00AE54B2">
      <w:pPr>
        <w:spacing w:after="0"/>
        <w:rPr>
          <w:rFonts w:eastAsia="Times New Roman"/>
          <w:sz w:val="22"/>
          <w:szCs w:val="22"/>
          <w:lang w:eastAsia="ko-KR"/>
        </w:rPr>
      </w:pPr>
      <w:r w:rsidRPr="00AE54B2">
        <w:rPr>
          <w:rFonts w:eastAsia="Times New Roman"/>
          <w:sz w:val="22"/>
          <w:szCs w:val="22"/>
          <w:lang w:eastAsia="ko-KR"/>
        </w:rPr>
        <w:t xml:space="preserve">In this contribution we have </w:t>
      </w:r>
      <w:r>
        <w:rPr>
          <w:rFonts w:eastAsia="Times New Roman"/>
          <w:sz w:val="22"/>
          <w:szCs w:val="22"/>
          <w:lang w:eastAsia="ko-KR"/>
        </w:rPr>
        <w:t xml:space="preserve">discussed the LS reply from RAN1 on issues related to DCI-based simultaneous BWP switching on multiple component carriers. As the issue is confirmed, but will not be addressed in Rel-16 time frame, we propose the following:   </w:t>
      </w:r>
    </w:p>
    <w:p w14:paraId="23EEABBC" w14:textId="77777777" w:rsidR="00AE54B2" w:rsidRDefault="00AE54B2" w:rsidP="00D07EBE">
      <w:pPr>
        <w:spacing w:after="0"/>
        <w:ind w:left="1134" w:hanging="1134"/>
        <w:rPr>
          <w:rFonts w:eastAsia="Times New Roman"/>
          <w:b/>
          <w:bCs/>
          <w:color w:val="365F91" w:themeColor="accent1" w:themeShade="BF"/>
          <w:sz w:val="22"/>
          <w:szCs w:val="22"/>
          <w:lang w:eastAsia="ko-KR"/>
        </w:rPr>
      </w:pPr>
    </w:p>
    <w:p w14:paraId="76C218A3" w14:textId="0F382558" w:rsidR="00D07EBE" w:rsidRPr="00D07EBE" w:rsidRDefault="00D07EBE" w:rsidP="00D07EBE">
      <w:pPr>
        <w:spacing w:after="0"/>
        <w:ind w:left="1134" w:hanging="1134"/>
        <w:rPr>
          <w:rFonts w:eastAsia="Times New Roman"/>
          <w:sz w:val="22"/>
          <w:szCs w:val="22"/>
          <w:lang w:eastAsia="ko-KR"/>
        </w:rPr>
      </w:pPr>
      <w:r w:rsidRPr="00CC0D50">
        <w:rPr>
          <w:rFonts w:eastAsia="Times New Roman"/>
          <w:b/>
          <w:bCs/>
          <w:color w:val="365F91" w:themeColor="accent1" w:themeShade="BF"/>
          <w:sz w:val="22"/>
          <w:szCs w:val="22"/>
          <w:lang w:eastAsia="ko-KR"/>
        </w:rPr>
        <w:t xml:space="preserve">Proposal 1: </w:t>
      </w:r>
      <w:r>
        <w:rPr>
          <w:rFonts w:eastAsia="Times New Roman"/>
          <w:b/>
          <w:bCs/>
          <w:color w:val="365F91" w:themeColor="accent1" w:themeShade="BF"/>
          <w:sz w:val="22"/>
          <w:szCs w:val="22"/>
          <w:lang w:eastAsia="ko-KR"/>
        </w:rPr>
        <w:tab/>
      </w:r>
      <w:r w:rsidRPr="00CC0D50">
        <w:rPr>
          <w:rFonts w:eastAsia="Times New Roman"/>
          <w:sz w:val="22"/>
          <w:szCs w:val="22"/>
          <w:lang w:eastAsia="ko-KR"/>
        </w:rPr>
        <w:t xml:space="preserve">A clarification </w:t>
      </w:r>
      <w:r>
        <w:rPr>
          <w:rFonts w:eastAsia="Times New Roman"/>
          <w:sz w:val="22"/>
          <w:szCs w:val="22"/>
          <w:lang w:eastAsia="ko-KR"/>
        </w:rPr>
        <w:t>is added to the description of N where it is hinted that the maximum value of N that can be supported is depending on T</w:t>
      </w:r>
      <w:r w:rsidRPr="00D07EBE">
        <w:rPr>
          <w:rFonts w:eastAsia="Times New Roman"/>
          <w:sz w:val="22"/>
          <w:szCs w:val="22"/>
          <w:vertAlign w:val="subscript"/>
          <w:lang w:eastAsia="ko-KR"/>
        </w:rPr>
        <w:t>BWPswitchDelay</w:t>
      </w:r>
      <w:r>
        <w:rPr>
          <w:rFonts w:eastAsia="Times New Roman"/>
          <w:sz w:val="22"/>
          <w:szCs w:val="22"/>
          <w:lang w:eastAsia="ko-KR"/>
        </w:rPr>
        <w:t xml:space="preserve"> (</w:t>
      </w:r>
      <w:r w:rsidRPr="00D07EBE">
        <w:rPr>
          <w:rFonts w:eastAsia="Times New Roman"/>
          <w:i/>
          <w:iCs/>
          <w:sz w:val="22"/>
          <w:szCs w:val="22"/>
          <w:lang w:eastAsia="ko-KR"/>
        </w:rPr>
        <w:t>bwp-SwitchingDelay-r16</w:t>
      </w:r>
      <w:r>
        <w:rPr>
          <w:rFonts w:eastAsia="Times New Roman"/>
          <w:sz w:val="22"/>
          <w:szCs w:val="22"/>
          <w:lang w:eastAsia="ko-KR"/>
        </w:rPr>
        <w:t xml:space="preserve">), incremental switching delay D, and whichever applies of </w:t>
      </w:r>
      <w:r w:rsidRPr="00D07EBE">
        <w:rPr>
          <w:rFonts w:eastAsia="Times New Roman"/>
          <w:sz w:val="22"/>
          <w:szCs w:val="22"/>
          <w:lang w:val="en-US" w:eastAsia="zh-CN"/>
        </w:rPr>
        <w:t>minimum scheduling offset on DL</w:t>
      </w:r>
      <w:r>
        <w:rPr>
          <w:rFonts w:eastAsia="Times New Roman"/>
          <w:sz w:val="22"/>
          <w:szCs w:val="22"/>
          <w:lang w:val="en-US" w:eastAsia="zh-CN"/>
        </w:rPr>
        <w:t xml:space="preserve"> (</w:t>
      </w:r>
      <w:r w:rsidRPr="00D07EBE">
        <w:rPr>
          <w:rFonts w:eastAsia="Times New Roman"/>
          <w:i/>
          <w:iCs/>
          <w:sz w:val="22"/>
          <w:szCs w:val="22"/>
          <w:lang w:val="en-US" w:eastAsia="zh-CN"/>
        </w:rPr>
        <w:t>k0</w:t>
      </w:r>
      <w:r>
        <w:rPr>
          <w:rFonts w:eastAsia="Times New Roman"/>
          <w:sz w:val="22"/>
          <w:szCs w:val="22"/>
          <w:lang w:val="en-US" w:eastAsia="zh-CN"/>
        </w:rPr>
        <w:t>)</w:t>
      </w:r>
      <w:r w:rsidRPr="00D07EBE">
        <w:rPr>
          <w:rFonts w:eastAsia="Times New Roman"/>
          <w:sz w:val="22"/>
          <w:szCs w:val="22"/>
          <w:lang w:val="en-US" w:eastAsia="zh-CN"/>
        </w:rPr>
        <w:t>, HARQ ACK-timing</w:t>
      </w:r>
      <w:r>
        <w:rPr>
          <w:rFonts w:eastAsia="Times New Roman"/>
          <w:sz w:val="22"/>
          <w:szCs w:val="22"/>
          <w:lang w:val="en-US" w:eastAsia="zh-CN"/>
        </w:rPr>
        <w:t xml:space="preserve"> (</w:t>
      </w:r>
      <w:r w:rsidRPr="00D07EBE">
        <w:rPr>
          <w:rFonts w:eastAsia="Times New Roman"/>
          <w:i/>
          <w:iCs/>
          <w:sz w:val="22"/>
          <w:szCs w:val="22"/>
          <w:lang w:val="en-US" w:eastAsia="zh-CN"/>
        </w:rPr>
        <w:t>k1</w:t>
      </w:r>
      <w:r>
        <w:rPr>
          <w:rFonts w:eastAsia="Times New Roman"/>
          <w:sz w:val="22"/>
          <w:szCs w:val="22"/>
          <w:lang w:val="en-US" w:eastAsia="zh-CN"/>
        </w:rPr>
        <w:t>)</w:t>
      </w:r>
      <w:r w:rsidRPr="00D07EBE">
        <w:rPr>
          <w:rFonts w:eastAsia="Times New Roman"/>
          <w:sz w:val="22"/>
          <w:szCs w:val="22"/>
          <w:lang w:val="en-US" w:eastAsia="zh-CN"/>
        </w:rPr>
        <w:t>, and minimum scheduling offset on UL</w:t>
      </w:r>
      <w:r>
        <w:rPr>
          <w:rFonts w:eastAsia="Times New Roman"/>
          <w:sz w:val="22"/>
          <w:szCs w:val="22"/>
          <w:lang w:val="en-US" w:eastAsia="zh-CN"/>
        </w:rPr>
        <w:t xml:space="preserve"> (</w:t>
      </w:r>
      <w:r w:rsidRPr="00D07EBE">
        <w:rPr>
          <w:rFonts w:eastAsia="Times New Roman"/>
          <w:i/>
          <w:iCs/>
          <w:sz w:val="22"/>
          <w:szCs w:val="22"/>
          <w:lang w:val="en-US" w:eastAsia="zh-CN"/>
        </w:rPr>
        <w:t>k2</w:t>
      </w:r>
      <w:r>
        <w:rPr>
          <w:rFonts w:eastAsia="Times New Roman"/>
          <w:sz w:val="22"/>
          <w:szCs w:val="22"/>
          <w:lang w:val="en-US" w:eastAsia="zh-CN"/>
        </w:rPr>
        <w:t>).</w:t>
      </w:r>
    </w:p>
    <w:p w14:paraId="28476FB4" w14:textId="77777777" w:rsidR="00D1502B" w:rsidRDefault="00D1502B" w:rsidP="00D1502B">
      <w:pPr>
        <w:spacing w:after="0"/>
        <w:rPr>
          <w:rFonts w:eastAsia="Times New Roman"/>
          <w:color w:val="365F91" w:themeColor="accent1" w:themeShade="BF"/>
          <w:sz w:val="22"/>
          <w:szCs w:val="22"/>
          <w:lang w:eastAsia="ko-KR"/>
        </w:rPr>
      </w:pPr>
    </w:p>
    <w:p w14:paraId="53845D24" w14:textId="48A3CCA2" w:rsidR="00D1502B" w:rsidRPr="00D1502B" w:rsidRDefault="00AE54B2" w:rsidP="00D1502B">
      <w:pPr>
        <w:spacing w:after="0"/>
        <w:rPr>
          <w:rFonts w:eastAsia="Times New Roman"/>
          <w:sz w:val="22"/>
          <w:szCs w:val="22"/>
          <w:lang w:eastAsia="ko-KR"/>
        </w:rPr>
      </w:pPr>
      <w:r>
        <w:rPr>
          <w:rFonts w:eastAsia="Times New Roman"/>
          <w:sz w:val="22"/>
          <w:szCs w:val="22"/>
          <w:lang w:eastAsia="ko-KR"/>
        </w:rPr>
        <w:t>A CR implementing Proposal 1 is provided in</w:t>
      </w:r>
      <w:r w:rsidR="00D1502B" w:rsidRPr="00D1502B">
        <w:rPr>
          <w:rFonts w:eastAsia="Times New Roman"/>
          <w:sz w:val="22"/>
          <w:szCs w:val="22"/>
          <w:lang w:eastAsia="ko-KR"/>
        </w:rPr>
        <w:t xml:space="preserve"> </w:t>
      </w:r>
      <w:r w:rsidR="00D1502B" w:rsidRPr="00D1502B">
        <w:rPr>
          <w:rFonts w:eastAsia="Times New Roman"/>
          <w:sz w:val="22"/>
          <w:szCs w:val="22"/>
          <w:lang w:eastAsia="ko-KR"/>
        </w:rPr>
        <w:fldChar w:fldCharType="begin"/>
      </w:r>
      <w:r w:rsidR="00D1502B" w:rsidRPr="00D1502B">
        <w:rPr>
          <w:rFonts w:eastAsia="Times New Roman"/>
          <w:sz w:val="22"/>
          <w:szCs w:val="22"/>
          <w:lang w:eastAsia="ko-KR"/>
        </w:rPr>
        <w:instrText xml:space="preserve"> REF _Ref54358244 \r \h </w:instrText>
      </w:r>
      <w:r w:rsidR="00D1502B" w:rsidRPr="00D1502B">
        <w:rPr>
          <w:rFonts w:eastAsia="Times New Roman"/>
          <w:sz w:val="22"/>
          <w:szCs w:val="22"/>
          <w:lang w:eastAsia="ko-KR"/>
        </w:rPr>
      </w:r>
      <w:r w:rsidR="00D1502B" w:rsidRPr="00D1502B">
        <w:rPr>
          <w:rFonts w:eastAsia="Times New Roman"/>
          <w:sz w:val="22"/>
          <w:szCs w:val="22"/>
          <w:lang w:eastAsia="ko-KR"/>
        </w:rPr>
        <w:fldChar w:fldCharType="separate"/>
      </w:r>
      <w:r w:rsidR="00D1502B" w:rsidRPr="00D1502B">
        <w:rPr>
          <w:rFonts w:eastAsia="Times New Roman"/>
          <w:sz w:val="22"/>
          <w:szCs w:val="22"/>
          <w:lang w:eastAsia="ko-KR"/>
        </w:rPr>
        <w:t>[1]</w:t>
      </w:r>
      <w:r w:rsidR="00D1502B" w:rsidRPr="00D1502B">
        <w:rPr>
          <w:rFonts w:eastAsia="Times New Roman"/>
          <w:sz w:val="22"/>
          <w:szCs w:val="22"/>
          <w:lang w:eastAsia="ko-KR"/>
        </w:rPr>
        <w:fldChar w:fldCharType="end"/>
      </w:r>
      <w:r w:rsidR="00D1502B" w:rsidRPr="00D1502B">
        <w:rPr>
          <w:rFonts w:eastAsia="Times New Roman"/>
          <w:sz w:val="22"/>
          <w:szCs w:val="22"/>
          <w:lang w:eastAsia="ko-KR"/>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18BE7149" w14:textId="40EA2575" w:rsidR="003F65E1" w:rsidRDefault="00142C2E" w:rsidP="000D717D">
      <w:pPr>
        <w:numPr>
          <w:ilvl w:val="0"/>
          <w:numId w:val="9"/>
        </w:numPr>
        <w:tabs>
          <w:tab w:val="left" w:pos="851"/>
        </w:tabs>
        <w:rPr>
          <w:rFonts w:ascii="Arial" w:hAnsi="Arial" w:cs="Arial"/>
          <w:sz w:val="22"/>
          <w:szCs w:val="22"/>
          <w:lang w:val="en-CA"/>
        </w:rPr>
      </w:pPr>
      <w:bookmarkStart w:id="6" w:name="_Ref60932375"/>
      <w:bookmarkEnd w:id="3"/>
      <w:bookmarkEnd w:id="4"/>
      <w:bookmarkEnd w:id="5"/>
      <w:r>
        <w:rPr>
          <w:rFonts w:ascii="Arial" w:hAnsi="Arial" w:cs="Arial"/>
          <w:sz w:val="22"/>
          <w:szCs w:val="22"/>
          <w:lang w:val="en-CA"/>
        </w:rPr>
        <w:t>R1-2009575 “Reply LS on DCI-based multiple BWP switch simultaneously”, RAN1 (MediaTek)</w:t>
      </w:r>
      <w:bookmarkEnd w:id="6"/>
    </w:p>
    <w:p w14:paraId="71ABE22D" w14:textId="0FDC887A" w:rsidR="00D17F0F" w:rsidRDefault="00D17F0F" w:rsidP="000D717D">
      <w:pPr>
        <w:numPr>
          <w:ilvl w:val="0"/>
          <w:numId w:val="9"/>
        </w:numPr>
        <w:tabs>
          <w:tab w:val="left" w:pos="851"/>
        </w:tabs>
        <w:rPr>
          <w:rFonts w:ascii="Arial" w:hAnsi="Arial" w:cs="Arial"/>
          <w:sz w:val="22"/>
          <w:szCs w:val="22"/>
          <w:lang w:val="en-CA"/>
        </w:rPr>
      </w:pPr>
      <w:r>
        <w:rPr>
          <w:rFonts w:ascii="Arial" w:hAnsi="Arial" w:cs="Arial"/>
          <w:sz w:val="22"/>
          <w:szCs w:val="22"/>
          <w:lang w:val="en-CA"/>
        </w:rPr>
        <w:t>R4-21</w:t>
      </w:r>
      <w:r w:rsidR="008052F1">
        <w:rPr>
          <w:rFonts w:ascii="Arial" w:hAnsi="Arial" w:cs="Arial"/>
          <w:sz w:val="22"/>
          <w:szCs w:val="22"/>
          <w:lang w:val="en-CA"/>
        </w:rPr>
        <w:t>02355</w:t>
      </w:r>
      <w:r>
        <w:rPr>
          <w:rFonts w:ascii="Arial" w:hAnsi="Arial" w:cs="Arial"/>
          <w:sz w:val="22"/>
          <w:szCs w:val="22"/>
          <w:lang w:val="en-CA"/>
        </w:rPr>
        <w:t xml:space="preserve"> “</w:t>
      </w:r>
      <w:r w:rsidR="008052F1" w:rsidRPr="008052F1">
        <w:rPr>
          <w:rFonts w:ascii="Arial" w:hAnsi="Arial" w:cs="Arial"/>
          <w:sz w:val="22"/>
          <w:szCs w:val="22"/>
          <w:lang w:val="en-CA"/>
        </w:rPr>
        <w:t>CR 38.133 (8.6.2A) Clarification on DCI-triggered BWP switch on multiple CCs</w:t>
      </w:r>
      <w:bookmarkStart w:id="7" w:name="_GoBack"/>
      <w:bookmarkEnd w:id="7"/>
      <w:r>
        <w:rPr>
          <w:rFonts w:ascii="Arial" w:hAnsi="Arial" w:cs="Arial"/>
          <w:sz w:val="22"/>
          <w:szCs w:val="22"/>
          <w:lang w:val="en-CA"/>
        </w:rPr>
        <w:t>”, Ericsson</w:t>
      </w:r>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FFABC" w14:textId="77777777" w:rsidR="0024670E" w:rsidRDefault="0024670E">
      <w:r>
        <w:separator/>
      </w:r>
    </w:p>
  </w:endnote>
  <w:endnote w:type="continuationSeparator" w:id="0">
    <w:p w14:paraId="7FD706C6" w14:textId="77777777" w:rsidR="0024670E" w:rsidRDefault="0024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C73CB" w14:textId="77777777" w:rsidR="0024670E" w:rsidRDefault="0024670E">
      <w:r>
        <w:separator/>
      </w:r>
    </w:p>
  </w:footnote>
  <w:footnote w:type="continuationSeparator" w:id="0">
    <w:p w14:paraId="39198809" w14:textId="77777777" w:rsidR="0024670E" w:rsidRDefault="00246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F5BBA"/>
    <w:multiLevelType w:val="hybridMultilevel"/>
    <w:tmpl w:val="8B6C1C30"/>
    <w:lvl w:ilvl="0" w:tplc="911C6AA4">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91F6FC7"/>
    <w:multiLevelType w:val="hybridMultilevel"/>
    <w:tmpl w:val="2506DDAE"/>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1B6C30BD"/>
    <w:multiLevelType w:val="hybridMultilevel"/>
    <w:tmpl w:val="1F508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F75DB"/>
    <w:multiLevelType w:val="hybridMultilevel"/>
    <w:tmpl w:val="C54EE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15792"/>
    <w:multiLevelType w:val="hybridMultilevel"/>
    <w:tmpl w:val="A7BC4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04AD4"/>
    <w:multiLevelType w:val="hybridMultilevel"/>
    <w:tmpl w:val="FD38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6D32149"/>
    <w:multiLevelType w:val="hybridMultilevel"/>
    <w:tmpl w:val="635EA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195755"/>
    <w:multiLevelType w:val="hybridMultilevel"/>
    <w:tmpl w:val="5112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4559C2"/>
    <w:multiLevelType w:val="hybridMultilevel"/>
    <w:tmpl w:val="6082F27C"/>
    <w:lvl w:ilvl="0" w:tplc="375C3AFC">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C1951D2"/>
    <w:multiLevelType w:val="hybridMultilevel"/>
    <w:tmpl w:val="A45CDFE6"/>
    <w:lvl w:ilvl="0" w:tplc="AED6B82A">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836B7"/>
    <w:multiLevelType w:val="hybridMultilevel"/>
    <w:tmpl w:val="9EE67040"/>
    <w:lvl w:ilvl="0" w:tplc="04090001">
      <w:start w:val="1"/>
      <w:numFmt w:val="bullet"/>
      <w:lvlText w:val=""/>
      <w:lvlJc w:val="left"/>
      <w:pPr>
        <w:ind w:left="1856" w:hanging="360"/>
      </w:pPr>
      <w:rPr>
        <w:rFonts w:ascii="Symbol" w:hAnsi="Symbol"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2" w15:restartNumberingAfterBreak="0">
    <w:nsid w:val="40431442"/>
    <w:multiLevelType w:val="hybridMultilevel"/>
    <w:tmpl w:val="EAC64018"/>
    <w:lvl w:ilvl="0" w:tplc="6838981C">
      <w:start w:val="36"/>
      <w:numFmt w:val="bullet"/>
      <w:lvlText w:val="-"/>
      <w:lvlJc w:val="left"/>
      <w:pPr>
        <w:ind w:left="405" w:hanging="360"/>
      </w:pPr>
      <w:rPr>
        <w:rFonts w:ascii="Calibri" w:eastAsia="SimSu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CF1E52"/>
    <w:multiLevelType w:val="hybridMultilevel"/>
    <w:tmpl w:val="D8A2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E264B8"/>
    <w:multiLevelType w:val="hybridMultilevel"/>
    <w:tmpl w:val="3DC885E4"/>
    <w:lvl w:ilvl="0" w:tplc="94CAB2C8">
      <w:start w:val="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D85CB8"/>
    <w:multiLevelType w:val="hybridMultilevel"/>
    <w:tmpl w:val="A7444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37832"/>
    <w:multiLevelType w:val="hybridMultilevel"/>
    <w:tmpl w:val="1638C9B6"/>
    <w:lvl w:ilvl="0" w:tplc="457873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0DA3"/>
    <w:multiLevelType w:val="hybridMultilevel"/>
    <w:tmpl w:val="96AA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D222C"/>
    <w:multiLevelType w:val="hybridMultilevel"/>
    <w:tmpl w:val="DC96E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2A4F00"/>
    <w:multiLevelType w:val="hybridMultilevel"/>
    <w:tmpl w:val="DE423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134B51"/>
    <w:multiLevelType w:val="hybridMultilevel"/>
    <w:tmpl w:val="27B80392"/>
    <w:lvl w:ilvl="0" w:tplc="E918E484">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4970EF"/>
    <w:multiLevelType w:val="hybridMultilevel"/>
    <w:tmpl w:val="B434AFC6"/>
    <w:lvl w:ilvl="0" w:tplc="8512673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BC26C63"/>
    <w:multiLevelType w:val="hybridMultilevel"/>
    <w:tmpl w:val="AC0A9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0625BF8"/>
    <w:multiLevelType w:val="hybridMultilevel"/>
    <w:tmpl w:val="F23CA84E"/>
    <w:lvl w:ilvl="0" w:tplc="32EC02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2B1E42"/>
    <w:multiLevelType w:val="hybridMultilevel"/>
    <w:tmpl w:val="3B604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76E4D"/>
    <w:multiLevelType w:val="hybridMultilevel"/>
    <w:tmpl w:val="8D10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9E4065"/>
    <w:multiLevelType w:val="hybridMultilevel"/>
    <w:tmpl w:val="6EB22148"/>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72AD1"/>
    <w:multiLevelType w:val="hybridMultilevel"/>
    <w:tmpl w:val="567E729A"/>
    <w:lvl w:ilvl="0" w:tplc="DAA8F5E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43"/>
  </w:num>
  <w:num w:numId="3">
    <w:abstractNumId w:val="42"/>
  </w:num>
  <w:num w:numId="4">
    <w:abstractNumId w:val="18"/>
  </w:num>
  <w:num w:numId="5">
    <w:abstractNumId w:val="23"/>
  </w:num>
  <w:num w:numId="6">
    <w:abstractNumId w:val="3"/>
  </w:num>
  <w:num w:numId="7">
    <w:abstractNumId w:val="2"/>
  </w:num>
  <w:num w:numId="8">
    <w:abstractNumId w:val="46"/>
  </w:num>
  <w:num w:numId="9">
    <w:abstractNumId w:val="34"/>
  </w:num>
  <w:num w:numId="10">
    <w:abstractNumId w:val="38"/>
  </w:num>
  <w:num w:numId="11">
    <w:abstractNumId w:val="41"/>
  </w:num>
  <w:num w:numId="12">
    <w:abstractNumId w:val="16"/>
  </w:num>
  <w:num w:numId="13">
    <w:abstractNumId w:val="31"/>
  </w:num>
  <w:num w:numId="14">
    <w:abstractNumId w:val="13"/>
  </w:num>
  <w:num w:numId="15">
    <w:abstractNumId w:val="7"/>
  </w:num>
  <w:num w:numId="16">
    <w:abstractNumId w:val="5"/>
  </w:num>
  <w:num w:numId="17">
    <w:abstractNumId w:val="12"/>
  </w:num>
  <w:num w:numId="18">
    <w:abstractNumId w:val="22"/>
  </w:num>
  <w:num w:numId="19">
    <w:abstractNumId w:val="1"/>
  </w:num>
  <w:num w:numId="20">
    <w:abstractNumId w:val="24"/>
  </w:num>
  <w:num w:numId="21">
    <w:abstractNumId w:val="19"/>
  </w:num>
  <w:num w:numId="22">
    <w:abstractNumId w:val="27"/>
  </w:num>
  <w:num w:numId="23">
    <w:abstractNumId w:val="17"/>
  </w:num>
  <w:num w:numId="24">
    <w:abstractNumId w:val="37"/>
  </w:num>
  <w:num w:numId="25">
    <w:abstractNumId w:val="32"/>
  </w:num>
  <w:num w:numId="26">
    <w:abstractNumId w:val="25"/>
  </w:num>
  <w:num w:numId="27">
    <w:abstractNumId w:val="20"/>
  </w:num>
  <w:num w:numId="28">
    <w:abstractNumId w:val="0"/>
  </w:num>
  <w:num w:numId="29">
    <w:abstractNumId w:val="15"/>
  </w:num>
  <w:num w:numId="30">
    <w:abstractNumId w:val="39"/>
  </w:num>
  <w:num w:numId="31">
    <w:abstractNumId w:val="9"/>
  </w:num>
  <w:num w:numId="32">
    <w:abstractNumId w:val="35"/>
  </w:num>
  <w:num w:numId="33">
    <w:abstractNumId w:val="30"/>
  </w:num>
  <w:num w:numId="34">
    <w:abstractNumId w:val="28"/>
  </w:num>
  <w:num w:numId="35">
    <w:abstractNumId w:val="26"/>
  </w:num>
  <w:num w:numId="36">
    <w:abstractNumId w:val="14"/>
  </w:num>
  <w:num w:numId="37">
    <w:abstractNumId w:val="8"/>
  </w:num>
  <w:num w:numId="38">
    <w:abstractNumId w:val="40"/>
  </w:num>
  <w:num w:numId="39">
    <w:abstractNumId w:val="11"/>
  </w:num>
  <w:num w:numId="40">
    <w:abstractNumId w:val="10"/>
  </w:num>
  <w:num w:numId="41">
    <w:abstractNumId w:val="21"/>
  </w:num>
  <w:num w:numId="42">
    <w:abstractNumId w:val="6"/>
  </w:num>
  <w:num w:numId="43">
    <w:abstractNumId w:val="44"/>
  </w:num>
  <w:num w:numId="44">
    <w:abstractNumId w:val="45"/>
  </w:num>
  <w:num w:numId="45">
    <w:abstractNumId w:val="33"/>
  </w:num>
  <w:num w:numId="46">
    <w:abstractNumId w:val="29"/>
  </w:num>
  <w:num w:numId="4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E63"/>
    <w:rsid w:val="00136F1D"/>
    <w:rsid w:val="001376D7"/>
    <w:rsid w:val="001379FC"/>
    <w:rsid w:val="00137B9B"/>
    <w:rsid w:val="00137E1E"/>
    <w:rsid w:val="001406E9"/>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72"/>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70E"/>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3B"/>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4"/>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6015"/>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C2C"/>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02F"/>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1BBE"/>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2F1"/>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89A"/>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20A9"/>
    <w:rsid w:val="0091364E"/>
    <w:rsid w:val="00913C50"/>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79D"/>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4B2"/>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A5F"/>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37575"/>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5"/>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A7B"/>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4C0D"/>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0D50"/>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07EBE"/>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F0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21F"/>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CBF"/>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43F"/>
    <w:rsid w:val="00F555E7"/>
    <w:rsid w:val="00F556D2"/>
    <w:rsid w:val="00F56366"/>
    <w:rsid w:val="00F5665F"/>
    <w:rsid w:val="00F56C19"/>
    <w:rsid w:val="00F56CA8"/>
    <w:rsid w:val="00F57CF4"/>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DE909-740F-4F86-A36D-CD5C419B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1117</Words>
  <Characters>6371</Characters>
  <Application>Microsoft Office Word</Application>
  <DocSecurity>0</DocSecurity>
  <Lines>53</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Time Plan</vt:lpstr>
      <vt:lpstr>Summary and Conclusion</vt:lpstr>
      <vt:lpstr>References</vt:lpstr>
    </vt:vector>
  </TitlesOfParts>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2021-01-14T11:19:00Z</dcterms:created>
  <dcterms:modified xsi:type="dcterms:W3CDTF">2021-01-15T16:56:00Z</dcterms:modified>
</cp:coreProperties>
</file>